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bidiVisual/>
        <w:tblW w:w="0" w:type="auto"/>
        <w:jc w:val="center"/>
        <w:tblLook w:val="0000" w:firstRow="0" w:lastRow="0" w:firstColumn="0" w:lastColumn="0" w:noHBand="0" w:noVBand="0"/>
      </w:tblPr>
      <w:tblGrid>
        <w:gridCol w:w="4914"/>
        <w:gridCol w:w="3591"/>
      </w:tblGrid>
      <w:tr w:rsidR="00642785" w14:paraId="0666C303" w14:textId="77777777" w:rsidTr="009D7937">
        <w:trPr>
          <w:trHeight w:hRule="exact" w:val="851"/>
          <w:jc w:val="center"/>
        </w:trPr>
        <w:tc>
          <w:tcPr>
            <w:tcW w:w="8721" w:type="dxa"/>
            <w:gridSpan w:val="2"/>
          </w:tcPr>
          <w:p w14:paraId="47F53D51" w14:textId="77777777" w:rsidR="007E07D4" w:rsidRPr="007E07D4" w:rsidRDefault="00000000" w:rsidP="009D7937">
            <w:pPr>
              <w:pStyle w:val="a3"/>
              <w:jc w:val="center"/>
              <w:rPr>
                <w:rFonts w:ascii="Tahoma" w:hAnsi="Tahoma" w:cs="Tahoma"/>
                <w:b/>
                <w:bCs/>
                <w:noProof w:val="0"/>
                <w:color w:val="000080"/>
                <w:rtl/>
              </w:rPr>
            </w:pPr>
            <w:bookmarkStart w:id="0" w:name="FirstLawyer"/>
            <w:bookmarkStart w:id="1" w:name="LastJudge"/>
            <w:r w:rsidRPr="007E07D4">
              <w:rPr>
                <w:rFonts w:ascii="Tahoma" w:hAnsi="Tahoma" w:cs="Tahoma"/>
                <w:b/>
                <w:bCs/>
                <w:noProof w:val="0"/>
                <w:color w:val="000080"/>
                <w:rtl/>
              </w:rPr>
              <w:t xml:space="preserve">ועדת ערר לפי </w:t>
            </w:r>
            <w:hyperlink r:id="rId7" w:history="1">
              <w:r w:rsidR="00E32C0E" w:rsidRPr="00E32C0E">
                <w:rPr>
                  <w:rStyle w:val="Hyperlink"/>
                  <w:rFonts w:ascii="Tahoma" w:hAnsi="Tahoma" w:cs="Tahoma"/>
                  <w:b/>
                  <w:bCs/>
                  <w:noProof w:val="0"/>
                  <w:rtl/>
                </w:rPr>
                <w:t>חוק מיסוי מקרקעין</w:t>
              </w:r>
            </w:hyperlink>
            <w:r w:rsidRPr="007E07D4">
              <w:rPr>
                <w:rFonts w:ascii="Tahoma" w:hAnsi="Tahoma" w:cs="Tahoma"/>
                <w:b/>
                <w:bCs/>
                <w:noProof w:val="0"/>
                <w:color w:val="000080"/>
                <w:rtl/>
              </w:rPr>
              <w:t xml:space="preserve"> </w:t>
            </w:r>
          </w:p>
          <w:p w14:paraId="263E16AE" w14:textId="77777777" w:rsidR="007E07D4" w:rsidRPr="007E07D4" w:rsidRDefault="00000000" w:rsidP="009D7937">
            <w:pPr>
              <w:pStyle w:val="a3"/>
              <w:jc w:val="center"/>
              <w:rPr>
                <w:rFonts w:ascii="Tahoma" w:hAnsi="Tahoma" w:cs="Tahoma"/>
                <w:b/>
                <w:bCs/>
                <w:noProof w:val="0"/>
                <w:color w:val="000080"/>
                <w:rtl/>
              </w:rPr>
            </w:pPr>
            <w:r w:rsidRPr="007E07D4">
              <w:rPr>
                <w:rFonts w:ascii="Tahoma" w:hAnsi="Tahoma" w:cs="Tahoma"/>
                <w:b/>
                <w:bCs/>
                <w:noProof w:val="0"/>
                <w:color w:val="000080"/>
                <w:rtl/>
              </w:rPr>
              <w:t>בבית המשפט המחוזי בירושלים</w:t>
            </w:r>
          </w:p>
          <w:p w14:paraId="36F8EB47" w14:textId="77777777" w:rsidR="007E07D4" w:rsidRPr="007E07D4" w:rsidRDefault="007E07D4" w:rsidP="009D7937">
            <w:pPr>
              <w:pStyle w:val="a3"/>
              <w:jc w:val="center"/>
              <w:rPr>
                <w:rFonts w:ascii="Tahoma" w:hAnsi="Tahoma" w:cs="Tahoma"/>
                <w:noProof w:val="0"/>
                <w:color w:val="000080"/>
                <w:rtl/>
              </w:rPr>
            </w:pPr>
          </w:p>
        </w:tc>
      </w:tr>
      <w:tr w:rsidR="00642785" w14:paraId="5C20F56B" w14:textId="77777777" w:rsidTr="009D7937">
        <w:trPr>
          <w:trHeight w:val="337"/>
          <w:jc w:val="center"/>
        </w:trPr>
        <w:tc>
          <w:tcPr>
            <w:tcW w:w="5047" w:type="dxa"/>
          </w:tcPr>
          <w:p w14:paraId="2F53F0C1" w14:textId="77777777" w:rsidR="007E07D4" w:rsidRPr="009F4C88" w:rsidRDefault="007E07D4" w:rsidP="009F4C88">
            <w:pPr>
              <w:spacing w:before="120" w:after="120" w:line="240" w:lineRule="exact"/>
              <w:rPr>
                <w:b/>
                <w:bCs/>
                <w:noProof w:val="0"/>
                <w:sz w:val="26"/>
                <w:szCs w:val="26"/>
                <w:rtl/>
              </w:rPr>
            </w:pPr>
          </w:p>
        </w:tc>
        <w:tc>
          <w:tcPr>
            <w:tcW w:w="3674" w:type="dxa"/>
          </w:tcPr>
          <w:p w14:paraId="4247EB76" w14:textId="77777777" w:rsidR="007E07D4" w:rsidRPr="009F4C88" w:rsidRDefault="00000000" w:rsidP="009F4C88">
            <w:pPr>
              <w:pStyle w:val="a3"/>
              <w:spacing w:before="120" w:after="120" w:line="240" w:lineRule="exact"/>
              <w:jc w:val="right"/>
              <w:rPr>
                <w:b/>
                <w:bCs/>
                <w:noProof w:val="0"/>
                <w:sz w:val="26"/>
                <w:szCs w:val="26"/>
                <w:rtl/>
              </w:rPr>
            </w:pPr>
            <w:r w:rsidRPr="009F4C88">
              <w:rPr>
                <w:b/>
                <w:bCs/>
                <w:noProof w:val="0"/>
                <w:sz w:val="26"/>
                <w:szCs w:val="26"/>
                <w:rtl/>
              </w:rPr>
              <w:t>02 מרץ 2025</w:t>
            </w:r>
          </w:p>
        </w:tc>
      </w:tr>
      <w:tr w:rsidR="00642785" w14:paraId="341BCCFB" w14:textId="77777777" w:rsidTr="009D7937">
        <w:trPr>
          <w:trHeight w:val="337"/>
          <w:jc w:val="center"/>
        </w:trPr>
        <w:tc>
          <w:tcPr>
            <w:tcW w:w="8721" w:type="dxa"/>
            <w:gridSpan w:val="2"/>
          </w:tcPr>
          <w:p w14:paraId="7773E4C2" w14:textId="77777777" w:rsidR="007E07D4" w:rsidRPr="009F4C88" w:rsidRDefault="00000000" w:rsidP="009F4C88">
            <w:pPr>
              <w:spacing w:before="120" w:after="120" w:line="240" w:lineRule="exact"/>
              <w:rPr>
                <w:b/>
                <w:bCs/>
                <w:noProof w:val="0"/>
                <w:sz w:val="26"/>
                <w:szCs w:val="26"/>
                <w:rtl/>
              </w:rPr>
            </w:pPr>
            <w:r w:rsidRPr="009F4C88">
              <w:rPr>
                <w:b/>
                <w:bCs/>
                <w:noProof w:val="0"/>
                <w:sz w:val="26"/>
                <w:szCs w:val="26"/>
                <w:rtl/>
              </w:rPr>
              <w:t>ו"ע 28123-04-21 מלכיאור ואח' נ' מדינת ישראל</w:t>
            </w:r>
          </w:p>
        </w:tc>
      </w:tr>
    </w:tbl>
    <w:p w14:paraId="29937F3E" w14:textId="77777777" w:rsidR="007E07D4" w:rsidRPr="009F4C88" w:rsidRDefault="00000000" w:rsidP="009F4C88">
      <w:pPr>
        <w:pStyle w:val="a3"/>
        <w:spacing w:before="120" w:after="120" w:line="240" w:lineRule="exact"/>
        <w:rPr>
          <w:b/>
          <w:bCs/>
          <w:noProof w:val="0"/>
          <w:sz w:val="26"/>
          <w:szCs w:val="26"/>
          <w:rtl/>
        </w:rPr>
      </w:pPr>
      <w:r w:rsidRPr="009F4C88">
        <w:rPr>
          <w:b/>
          <w:bCs/>
          <w:noProof w:val="0"/>
          <w:sz w:val="26"/>
          <w:szCs w:val="26"/>
          <w:rtl/>
        </w:rPr>
        <w:t xml:space="preserve"> </w:t>
      </w:r>
    </w:p>
    <w:tbl>
      <w:tblPr>
        <w:bidiVisual/>
        <w:tblW w:w="8820" w:type="dxa"/>
        <w:jc w:val="center"/>
        <w:tblLook w:val="01E0" w:firstRow="1" w:lastRow="1" w:firstColumn="1" w:lastColumn="1" w:noHBand="0" w:noVBand="0"/>
      </w:tblPr>
      <w:tblGrid>
        <w:gridCol w:w="743"/>
        <w:gridCol w:w="2506"/>
        <w:gridCol w:w="5571"/>
      </w:tblGrid>
      <w:tr w:rsidR="00642785" w14:paraId="002B1531" w14:textId="77777777" w:rsidTr="00E93106">
        <w:trPr>
          <w:jc w:val="center"/>
        </w:trPr>
        <w:tc>
          <w:tcPr>
            <w:tcW w:w="743" w:type="dxa"/>
          </w:tcPr>
          <w:p w14:paraId="1A8540FF" w14:textId="77777777" w:rsidR="009A6074" w:rsidRPr="009F4C88" w:rsidRDefault="00000000" w:rsidP="009F4C88">
            <w:pPr>
              <w:spacing w:before="120" w:after="120" w:line="240" w:lineRule="exact"/>
              <w:jc w:val="both"/>
              <w:rPr>
                <w:rFonts w:ascii="Arial" w:hAnsi="Arial"/>
                <w:b/>
                <w:bCs/>
                <w:noProof w:val="0"/>
                <w:sz w:val="26"/>
                <w:szCs w:val="26"/>
                <w:rtl/>
              </w:rPr>
            </w:pPr>
            <w:r w:rsidRPr="009F4C88">
              <w:rPr>
                <w:rFonts w:ascii="Arial" w:hAnsi="Arial"/>
                <w:b/>
                <w:bCs/>
                <w:noProof w:val="0"/>
                <w:sz w:val="26"/>
                <w:szCs w:val="26"/>
                <w:rtl/>
              </w:rPr>
              <w:t xml:space="preserve">בפני </w:t>
            </w:r>
          </w:p>
        </w:tc>
        <w:tc>
          <w:tcPr>
            <w:tcW w:w="8077" w:type="dxa"/>
            <w:gridSpan w:val="2"/>
          </w:tcPr>
          <w:p w14:paraId="051B3774" w14:textId="77777777" w:rsidR="009A6074" w:rsidRPr="009F4C88" w:rsidRDefault="00000000" w:rsidP="009F4C88">
            <w:pPr>
              <w:spacing w:before="120" w:after="120" w:line="240" w:lineRule="exact"/>
              <w:rPr>
                <w:rFonts w:ascii="Arial" w:hAnsi="Arial" w:cs="FrankRuehl"/>
                <w:b/>
                <w:bCs/>
                <w:noProof w:val="0"/>
                <w:sz w:val="26"/>
                <w:szCs w:val="26"/>
                <w:highlight w:val="yellow"/>
                <w:rtl/>
              </w:rPr>
            </w:pPr>
            <w:bookmarkStart w:id="2" w:name="_Hlk192703948"/>
            <w:r w:rsidRPr="009F4C88">
              <w:rPr>
                <w:rFonts w:ascii="Arial" w:hAnsi="Arial"/>
                <w:b/>
                <w:bCs/>
                <w:noProof w:val="0"/>
                <w:sz w:val="26"/>
                <w:szCs w:val="26"/>
                <w:rtl/>
              </w:rPr>
              <w:t xml:space="preserve">כב' השופט </w:t>
            </w:r>
            <w:r w:rsidRPr="009F4C88">
              <w:rPr>
                <w:rFonts w:ascii="David" w:hAnsi="David"/>
                <w:b/>
                <w:bCs/>
                <w:noProof w:val="0"/>
                <w:sz w:val="26"/>
                <w:szCs w:val="26"/>
                <w:rtl/>
              </w:rPr>
              <w:t xml:space="preserve">אביגדור דורות, יו"ר  </w:t>
            </w:r>
            <w:r w:rsidRPr="009F4C88">
              <w:rPr>
                <w:rFonts w:ascii="David" w:hAnsi="David"/>
                <w:b/>
                <w:bCs/>
                <w:noProof w:val="0"/>
                <w:sz w:val="26"/>
                <w:szCs w:val="26"/>
                <w:rtl/>
              </w:rPr>
              <w:br/>
              <w:t xml:space="preserve">גב' גבע בלטר, חברה  </w:t>
            </w:r>
            <w:r w:rsidRPr="009F4C88">
              <w:rPr>
                <w:rFonts w:ascii="David" w:hAnsi="David"/>
                <w:b/>
                <w:bCs/>
                <w:noProof w:val="0"/>
                <w:sz w:val="26"/>
                <w:szCs w:val="26"/>
                <w:rtl/>
              </w:rPr>
              <w:br/>
              <w:t>רו"ח שלמה מדהלה, חבר</w:t>
            </w:r>
            <w:bookmarkEnd w:id="2"/>
          </w:p>
        </w:tc>
      </w:tr>
      <w:tr w:rsidR="00642785" w14:paraId="6066F266" w14:textId="77777777" w:rsidTr="00E93106">
        <w:trPr>
          <w:jc w:val="center"/>
        </w:trPr>
        <w:tc>
          <w:tcPr>
            <w:tcW w:w="3249" w:type="dxa"/>
            <w:gridSpan w:val="2"/>
          </w:tcPr>
          <w:p w14:paraId="0FD8A72F" w14:textId="77777777" w:rsidR="009A6074" w:rsidRPr="009F4C88" w:rsidRDefault="00000000" w:rsidP="009F4C88">
            <w:pPr>
              <w:bidi w:val="0"/>
              <w:spacing w:before="120" w:after="120" w:line="240" w:lineRule="exact"/>
              <w:jc w:val="right"/>
              <w:rPr>
                <w:rFonts w:ascii="Arial" w:hAnsi="Arial"/>
                <w:b/>
                <w:bCs/>
                <w:noProof w:val="0"/>
                <w:sz w:val="26"/>
                <w:szCs w:val="26"/>
              </w:rPr>
            </w:pPr>
            <w:bookmarkStart w:id="3" w:name="FirstAppellant"/>
            <w:r w:rsidRPr="009F4C88">
              <w:rPr>
                <w:rFonts w:ascii="Arial" w:hAnsi="Arial"/>
                <w:b/>
                <w:bCs/>
                <w:noProof w:val="0"/>
                <w:sz w:val="26"/>
                <w:szCs w:val="26"/>
                <w:rtl/>
              </w:rPr>
              <w:t>העוררים:</w:t>
            </w:r>
          </w:p>
        </w:tc>
        <w:tc>
          <w:tcPr>
            <w:tcW w:w="5571" w:type="dxa"/>
          </w:tcPr>
          <w:p w14:paraId="05927A44" w14:textId="77777777" w:rsidR="009A6074" w:rsidRPr="009F4C88" w:rsidRDefault="00000000" w:rsidP="009F4C88">
            <w:pPr>
              <w:spacing w:before="120" w:after="120" w:line="240" w:lineRule="exact"/>
              <w:rPr>
                <w:b/>
                <w:bCs/>
                <w:noProof w:val="0"/>
                <w:sz w:val="26"/>
                <w:szCs w:val="26"/>
              </w:rPr>
            </w:pPr>
            <w:r w:rsidRPr="009F4C88">
              <w:rPr>
                <w:rFonts w:ascii="Arial" w:hAnsi="Arial"/>
                <w:b/>
                <w:bCs/>
                <w:noProof w:val="0"/>
                <w:sz w:val="26"/>
                <w:szCs w:val="26"/>
                <w:rtl/>
              </w:rPr>
              <w:t>1</w:t>
            </w:r>
            <w:r w:rsidRPr="009F4C88">
              <w:rPr>
                <w:b/>
                <w:bCs/>
                <w:noProof w:val="0"/>
                <w:sz w:val="26"/>
                <w:szCs w:val="26"/>
                <w:rtl/>
              </w:rPr>
              <w:t>.</w:t>
            </w:r>
            <w:r w:rsidRPr="009F4C88">
              <w:rPr>
                <w:rFonts w:ascii="Arial" w:hAnsi="Arial"/>
                <w:b/>
                <w:bCs/>
                <w:noProof w:val="0"/>
                <w:sz w:val="26"/>
                <w:szCs w:val="26"/>
                <w:rtl/>
              </w:rPr>
              <w:t>מיכאל מלכיאור</w:t>
            </w:r>
          </w:p>
          <w:p w14:paraId="5F69296C" w14:textId="77777777" w:rsidR="009A6074" w:rsidRPr="009F4C88" w:rsidRDefault="00000000" w:rsidP="009F4C88">
            <w:pPr>
              <w:spacing w:before="120" w:after="120" w:line="240" w:lineRule="exact"/>
              <w:rPr>
                <w:b/>
                <w:bCs/>
                <w:noProof w:val="0"/>
                <w:sz w:val="26"/>
                <w:szCs w:val="26"/>
              </w:rPr>
            </w:pPr>
            <w:r w:rsidRPr="009F4C88">
              <w:rPr>
                <w:rFonts w:ascii="Arial" w:hAnsi="Arial"/>
                <w:b/>
                <w:bCs/>
                <w:noProof w:val="0"/>
                <w:sz w:val="26"/>
                <w:szCs w:val="26"/>
                <w:rtl/>
              </w:rPr>
              <w:t>2</w:t>
            </w:r>
            <w:r w:rsidRPr="009F4C88">
              <w:rPr>
                <w:b/>
                <w:bCs/>
                <w:noProof w:val="0"/>
                <w:sz w:val="26"/>
                <w:szCs w:val="26"/>
                <w:rtl/>
              </w:rPr>
              <w:t>.</w:t>
            </w:r>
            <w:r w:rsidRPr="009F4C88">
              <w:rPr>
                <w:rFonts w:ascii="Arial" w:hAnsi="Arial"/>
                <w:b/>
                <w:bCs/>
                <w:noProof w:val="0"/>
                <w:sz w:val="26"/>
                <w:szCs w:val="26"/>
                <w:rtl/>
              </w:rPr>
              <w:t>חנה מלכיאור</w:t>
            </w:r>
            <w:r w:rsidRPr="009F4C88">
              <w:rPr>
                <w:rFonts w:ascii="Arial" w:hAnsi="Arial"/>
                <w:b/>
                <w:bCs/>
                <w:noProof w:val="0"/>
                <w:sz w:val="26"/>
                <w:szCs w:val="26"/>
                <w:rtl/>
              </w:rPr>
              <w:br/>
            </w:r>
            <w:r w:rsidRPr="009F4C88">
              <w:rPr>
                <w:b/>
                <w:bCs/>
                <w:noProof w:val="0"/>
                <w:sz w:val="26"/>
                <w:szCs w:val="26"/>
                <w:rtl/>
              </w:rPr>
              <w:t>ע"י ב"כ עו"ד סלי אילון ועו"ד אייל מידני</w:t>
            </w:r>
          </w:p>
        </w:tc>
      </w:tr>
      <w:bookmarkEnd w:id="3"/>
      <w:tr w:rsidR="00642785" w14:paraId="63F99BF2" w14:textId="77777777" w:rsidTr="00E93106">
        <w:trPr>
          <w:jc w:val="center"/>
        </w:trPr>
        <w:tc>
          <w:tcPr>
            <w:tcW w:w="8820" w:type="dxa"/>
            <w:gridSpan w:val="3"/>
          </w:tcPr>
          <w:p w14:paraId="686E211F" w14:textId="77777777" w:rsidR="009A6074" w:rsidRPr="009F4C88" w:rsidRDefault="00000000" w:rsidP="009F4C88">
            <w:pPr>
              <w:spacing w:before="240" w:after="240" w:line="240" w:lineRule="exact"/>
              <w:jc w:val="center"/>
              <w:rPr>
                <w:rFonts w:ascii="Arial" w:hAnsi="Arial"/>
                <w:b/>
                <w:bCs/>
                <w:noProof w:val="0"/>
                <w:sz w:val="26"/>
                <w:szCs w:val="26"/>
                <w:rtl/>
              </w:rPr>
            </w:pPr>
            <w:r w:rsidRPr="009F4C88">
              <w:rPr>
                <w:rFonts w:ascii="Arial" w:hAnsi="Arial"/>
                <w:b/>
                <w:bCs/>
                <w:noProof w:val="0"/>
                <w:sz w:val="26"/>
                <w:szCs w:val="26"/>
                <w:rtl/>
              </w:rPr>
              <w:t>נגד</w:t>
            </w:r>
          </w:p>
        </w:tc>
      </w:tr>
      <w:tr w:rsidR="00642785" w14:paraId="2E201E6F" w14:textId="77777777" w:rsidTr="00E93106">
        <w:trPr>
          <w:jc w:val="center"/>
        </w:trPr>
        <w:tc>
          <w:tcPr>
            <w:tcW w:w="3249" w:type="dxa"/>
            <w:gridSpan w:val="2"/>
          </w:tcPr>
          <w:p w14:paraId="79E06C27" w14:textId="77777777" w:rsidR="009A6074" w:rsidRPr="009F4C88" w:rsidRDefault="00000000" w:rsidP="009F4C88">
            <w:pPr>
              <w:spacing w:before="120" w:after="120" w:line="240" w:lineRule="exact"/>
              <w:rPr>
                <w:rFonts w:ascii="Arial" w:hAnsi="Arial"/>
                <w:b/>
                <w:bCs/>
                <w:noProof w:val="0"/>
                <w:sz w:val="26"/>
                <w:szCs w:val="26"/>
                <w:rtl/>
              </w:rPr>
            </w:pPr>
            <w:r w:rsidRPr="009F4C88">
              <w:rPr>
                <w:rFonts w:ascii="Arial" w:hAnsi="Arial"/>
                <w:b/>
                <w:bCs/>
                <w:noProof w:val="0"/>
                <w:sz w:val="26"/>
                <w:szCs w:val="26"/>
                <w:rtl/>
              </w:rPr>
              <w:t>המשיב</w:t>
            </w:r>
            <w:r w:rsidRPr="009F4C88">
              <w:rPr>
                <w:b/>
                <w:bCs/>
                <w:noProof w:val="0"/>
                <w:sz w:val="26"/>
                <w:szCs w:val="26"/>
                <w:rtl/>
              </w:rPr>
              <w:t>:</w:t>
            </w:r>
          </w:p>
        </w:tc>
        <w:tc>
          <w:tcPr>
            <w:tcW w:w="5571" w:type="dxa"/>
          </w:tcPr>
          <w:p w14:paraId="31A1FAD2" w14:textId="77777777" w:rsidR="009A6074" w:rsidRPr="009F4C88" w:rsidRDefault="00000000" w:rsidP="009F4C88">
            <w:pPr>
              <w:spacing w:before="120" w:after="120" w:line="240" w:lineRule="exact"/>
              <w:rPr>
                <w:b/>
                <w:bCs/>
                <w:noProof w:val="0"/>
                <w:sz w:val="26"/>
                <w:szCs w:val="26"/>
                <w:rtl/>
              </w:rPr>
            </w:pPr>
            <w:r w:rsidRPr="009F4C88">
              <w:rPr>
                <w:rFonts w:ascii="Arial" w:hAnsi="Arial"/>
                <w:b/>
                <w:bCs/>
                <w:noProof w:val="0"/>
                <w:sz w:val="26"/>
                <w:szCs w:val="26"/>
                <w:rtl/>
              </w:rPr>
              <w:t>מנהל מיסוי מקרקעין ירושלים</w:t>
            </w:r>
            <w:r w:rsidRPr="009F4C88">
              <w:rPr>
                <w:rFonts w:ascii="Arial" w:hAnsi="Arial"/>
                <w:b/>
                <w:bCs/>
                <w:noProof w:val="0"/>
                <w:sz w:val="26"/>
                <w:szCs w:val="26"/>
                <w:rtl/>
              </w:rPr>
              <w:br/>
            </w:r>
            <w:r w:rsidRPr="009F4C88">
              <w:rPr>
                <w:b/>
                <w:bCs/>
                <w:noProof w:val="0"/>
                <w:sz w:val="26"/>
                <w:szCs w:val="26"/>
                <w:rtl/>
              </w:rPr>
              <w:t xml:space="preserve">ע"י ב"כ עו"ד חגי דומברוביץ, </w:t>
            </w:r>
            <w:r w:rsidRPr="009F4C88">
              <w:rPr>
                <w:b/>
                <w:bCs/>
                <w:noProof w:val="0"/>
                <w:sz w:val="26"/>
                <w:szCs w:val="26"/>
                <w:rtl/>
              </w:rPr>
              <w:br/>
              <w:t>מפרקליטות מחוז ירושלים (אזרחי)</w:t>
            </w:r>
          </w:p>
        </w:tc>
      </w:tr>
    </w:tbl>
    <w:p w14:paraId="213C617E" w14:textId="77777777" w:rsidR="009A6074" w:rsidRPr="007E07D4" w:rsidRDefault="009A6074" w:rsidP="007F2201">
      <w:pPr>
        <w:rPr>
          <w:noProof w:val="0"/>
          <w:rtl/>
        </w:rPr>
      </w:pPr>
    </w:p>
    <w:p w14:paraId="7C0B6FD9" w14:textId="77777777" w:rsidR="00602803" w:rsidRPr="009F4C88" w:rsidRDefault="00602803" w:rsidP="009F4C88">
      <w:bookmarkStart w:id="4" w:name="LawTable"/>
      <w:bookmarkStart w:id="5" w:name="ABSTRACT_END"/>
      <w:bookmarkEnd w:id="4"/>
      <w:bookmarkEnd w:id="5"/>
    </w:p>
    <w:tbl>
      <w:tblPr>
        <w:bidiVisual/>
        <w:tblW w:w="8820" w:type="dxa"/>
        <w:jc w:val="center"/>
        <w:tblLook w:val="01E0" w:firstRow="1" w:lastRow="1" w:firstColumn="1" w:lastColumn="1" w:noHBand="0" w:noVBand="0"/>
      </w:tblPr>
      <w:tblGrid>
        <w:gridCol w:w="8820"/>
      </w:tblGrid>
      <w:tr w:rsidR="00642785" w14:paraId="5FFF932B" w14:textId="77777777" w:rsidTr="00E93106">
        <w:trPr>
          <w:jc w:val="center"/>
        </w:trPr>
        <w:tc>
          <w:tcPr>
            <w:tcW w:w="8820" w:type="dxa"/>
          </w:tcPr>
          <w:p w14:paraId="5DCEDEF6" w14:textId="77777777" w:rsidR="007E07D4" w:rsidRPr="007E07D4" w:rsidRDefault="00000000" w:rsidP="007E07D4">
            <w:pPr>
              <w:bidi w:val="0"/>
              <w:jc w:val="center"/>
              <w:rPr>
                <w:rFonts w:ascii="Arial" w:hAnsi="Arial"/>
                <w:b/>
                <w:bCs/>
                <w:noProof w:val="0"/>
                <w:sz w:val="28"/>
                <w:szCs w:val="28"/>
                <w:u w:val="single"/>
              </w:rPr>
            </w:pPr>
            <w:bookmarkStart w:id="6" w:name="PsakDin" w:colFirst="0" w:colLast="0"/>
            <w:bookmarkEnd w:id="0"/>
            <w:bookmarkEnd w:id="1"/>
            <w:r w:rsidRPr="007E07D4">
              <w:rPr>
                <w:rFonts w:ascii="Arial" w:hAnsi="Arial"/>
                <w:b/>
                <w:bCs/>
                <w:noProof w:val="0"/>
                <w:sz w:val="28"/>
                <w:szCs w:val="28"/>
                <w:u w:val="single"/>
                <w:rtl/>
              </w:rPr>
              <w:t>פסק דין</w:t>
            </w:r>
          </w:p>
          <w:p w14:paraId="644C5902" w14:textId="77777777" w:rsidR="009A6074" w:rsidRPr="007E07D4" w:rsidRDefault="009A6074" w:rsidP="007E07D4">
            <w:pPr>
              <w:bidi w:val="0"/>
              <w:jc w:val="center"/>
              <w:rPr>
                <w:rFonts w:ascii="Arial" w:hAnsi="Arial"/>
                <w:b/>
                <w:bCs/>
                <w:noProof w:val="0"/>
                <w:sz w:val="28"/>
                <w:szCs w:val="28"/>
                <w:u w:val="single"/>
              </w:rPr>
            </w:pPr>
          </w:p>
        </w:tc>
      </w:tr>
      <w:bookmarkEnd w:id="6"/>
    </w:tbl>
    <w:p w14:paraId="6ABDB29C" w14:textId="77777777" w:rsidR="009A6074" w:rsidRDefault="009A6074" w:rsidP="007F2201">
      <w:pPr>
        <w:spacing w:line="360" w:lineRule="auto"/>
        <w:jc w:val="both"/>
        <w:rPr>
          <w:rFonts w:ascii="David" w:hAnsi="David"/>
          <w:b/>
          <w:bCs/>
          <w:noProof w:val="0"/>
          <w:u w:val="single"/>
        </w:rPr>
      </w:pPr>
    </w:p>
    <w:p w14:paraId="0A79EA49" w14:textId="77777777" w:rsidR="009A6074" w:rsidRDefault="00000000" w:rsidP="007F2201">
      <w:pPr>
        <w:spacing w:line="360" w:lineRule="auto"/>
        <w:jc w:val="both"/>
        <w:rPr>
          <w:rFonts w:ascii="David" w:hAnsi="David"/>
          <w:b/>
          <w:bCs/>
          <w:noProof w:val="0"/>
          <w:u w:val="single"/>
          <w:rtl/>
        </w:rPr>
      </w:pPr>
      <w:r>
        <w:rPr>
          <w:rFonts w:ascii="David" w:hAnsi="David"/>
          <w:b/>
          <w:bCs/>
          <w:noProof w:val="0"/>
          <w:u w:val="single"/>
          <w:rtl/>
        </w:rPr>
        <w:t>יו"ר הועדה, השופט אביגדור דורות:</w:t>
      </w:r>
    </w:p>
    <w:p w14:paraId="021D9D4F" w14:textId="77777777" w:rsidR="009A6074" w:rsidRDefault="00000000" w:rsidP="003B17CA">
      <w:pPr>
        <w:spacing w:line="360" w:lineRule="auto"/>
        <w:jc w:val="both"/>
        <w:rPr>
          <w:rFonts w:ascii="David" w:hAnsi="David"/>
          <w:noProof w:val="0"/>
          <w:rtl/>
        </w:rPr>
      </w:pPr>
      <w:r>
        <w:rPr>
          <w:rFonts w:ascii="David" w:hAnsi="David"/>
          <w:noProof w:val="0"/>
          <w:rtl/>
        </w:rPr>
        <w:t>לפנינו ערר על שומת מס רכישה עבור דירת העוררים ברח' אלדד 6 בירושלים, הידועה כגוש 030695 חלקה 9 תת חלקה 136. ערר זה נסוב על החלטת המשיב מיום 3.3.2021 (להלן: "</w:t>
      </w:r>
      <w:r>
        <w:rPr>
          <w:rFonts w:ascii="David" w:hAnsi="David"/>
          <w:b/>
          <w:bCs/>
          <w:noProof w:val="0"/>
          <w:rtl/>
        </w:rPr>
        <w:t>ההחלטה השנייה</w:t>
      </w:r>
      <w:r>
        <w:rPr>
          <w:rFonts w:ascii="David" w:hAnsi="David"/>
          <w:noProof w:val="0"/>
          <w:rtl/>
        </w:rPr>
        <w:t>") לשנות את החלטתו מיום 1.1.2019 (להלן: "</w:t>
      </w:r>
      <w:r>
        <w:rPr>
          <w:rFonts w:ascii="David" w:hAnsi="David"/>
          <w:b/>
          <w:bCs/>
          <w:noProof w:val="0"/>
          <w:rtl/>
        </w:rPr>
        <w:t>ההחלטה הראשונה</w:t>
      </w:r>
      <w:r>
        <w:rPr>
          <w:rFonts w:ascii="David" w:hAnsi="David"/>
          <w:noProof w:val="0"/>
          <w:rtl/>
        </w:rPr>
        <w:t xml:space="preserve">")- לתקן את שומת העוררים ולחייבם במס רכישה לפי הוראות </w:t>
      </w:r>
      <w:hyperlink r:id="rId8" w:history="1">
        <w:r w:rsidR="00E32C0E" w:rsidRPr="00E32C0E">
          <w:rPr>
            <w:rStyle w:val="Hyperlink"/>
            <w:rFonts w:ascii="David" w:hAnsi="David"/>
            <w:noProof w:val="0"/>
            <w:rtl/>
          </w:rPr>
          <w:t>סעיף 9(ג1ה)</w:t>
        </w:r>
      </w:hyperlink>
      <w:r>
        <w:rPr>
          <w:rFonts w:ascii="David" w:hAnsi="David"/>
          <w:noProof w:val="0"/>
          <w:rtl/>
        </w:rPr>
        <w:t xml:space="preserve"> ל</w:t>
      </w:r>
      <w:hyperlink r:id="rId9" w:history="1">
        <w:r w:rsidR="00E32C0E" w:rsidRPr="00E32C0E">
          <w:rPr>
            <w:rStyle w:val="Hyperlink"/>
            <w:rFonts w:ascii="David" w:hAnsi="David"/>
            <w:noProof w:val="0"/>
            <w:rtl/>
          </w:rPr>
          <w:t>חוק מיסוי מקרקעין (שבח ורכישה)</w:t>
        </w:r>
      </w:hyperlink>
      <w:r>
        <w:rPr>
          <w:rFonts w:ascii="David" w:hAnsi="David"/>
          <w:noProof w:val="0"/>
          <w:rtl/>
        </w:rPr>
        <w:t>, התשכ"ג-1963 (להלן: "</w:t>
      </w:r>
      <w:r w:rsidRPr="003B17CA">
        <w:rPr>
          <w:rFonts w:ascii="David" w:hAnsi="David"/>
          <w:b/>
          <w:bCs/>
          <w:noProof w:val="0"/>
          <w:rtl/>
        </w:rPr>
        <w:t>חוק מיסוי מקרקעין</w:t>
      </w:r>
      <w:r>
        <w:rPr>
          <w:rFonts w:ascii="David" w:hAnsi="David"/>
          <w:noProof w:val="0"/>
          <w:rtl/>
        </w:rPr>
        <w:t>" או "</w:t>
      </w:r>
      <w:r>
        <w:rPr>
          <w:rFonts w:ascii="David" w:hAnsi="David"/>
          <w:b/>
          <w:bCs/>
          <w:noProof w:val="0"/>
          <w:rtl/>
        </w:rPr>
        <w:t>החוק</w:t>
      </w:r>
      <w:r>
        <w:rPr>
          <w:rFonts w:ascii="David" w:hAnsi="David"/>
          <w:noProof w:val="0"/>
          <w:rtl/>
        </w:rPr>
        <w:t xml:space="preserve">"). </w:t>
      </w:r>
    </w:p>
    <w:p w14:paraId="4528884F" w14:textId="77777777" w:rsidR="009A6074" w:rsidRDefault="009A6074" w:rsidP="007F2201">
      <w:pPr>
        <w:spacing w:line="360" w:lineRule="auto"/>
        <w:jc w:val="both"/>
        <w:rPr>
          <w:rFonts w:ascii="David" w:hAnsi="David"/>
          <w:noProof w:val="0"/>
          <w:rtl/>
        </w:rPr>
      </w:pPr>
    </w:p>
    <w:p w14:paraId="3F0229C6" w14:textId="77777777" w:rsidR="009A6074" w:rsidRDefault="00000000" w:rsidP="007F2201">
      <w:pPr>
        <w:spacing w:line="360" w:lineRule="auto"/>
        <w:jc w:val="both"/>
        <w:rPr>
          <w:rFonts w:ascii="David" w:hAnsi="David"/>
          <w:b/>
          <w:bCs/>
          <w:u w:val="single"/>
        </w:rPr>
      </w:pPr>
      <w:r>
        <w:rPr>
          <w:rFonts w:ascii="David" w:hAnsi="David"/>
          <w:b/>
          <w:bCs/>
          <w:noProof w:val="0"/>
          <w:u w:val="single"/>
          <w:rtl/>
        </w:rPr>
        <w:t>תשתית עובדתית ושומתית</w:t>
      </w:r>
    </w:p>
    <w:p w14:paraId="51097110" w14:textId="77777777" w:rsidR="009A6074" w:rsidRDefault="00000000" w:rsidP="007F2201">
      <w:pPr>
        <w:pStyle w:val="11"/>
        <w:numPr>
          <w:ilvl w:val="0"/>
          <w:numId w:val="1"/>
        </w:numPr>
        <w:spacing w:line="360" w:lineRule="auto"/>
        <w:jc w:val="both"/>
        <w:rPr>
          <w:rFonts w:ascii="David" w:hAnsi="David" w:cs="David"/>
          <w:sz w:val="24"/>
          <w:szCs w:val="24"/>
          <w:rtl/>
        </w:rPr>
      </w:pPr>
      <w:r>
        <w:rPr>
          <w:rFonts w:ascii="David" w:hAnsi="David" w:cs="David"/>
          <w:sz w:val="24"/>
          <w:szCs w:val="24"/>
          <w:rtl/>
        </w:rPr>
        <w:t>העוררים היו בעלים של דירת מגורים ברחוב דוסטרובסקי בירושלים (להלן: "</w:t>
      </w:r>
      <w:r>
        <w:rPr>
          <w:rFonts w:ascii="David" w:hAnsi="David" w:cs="David"/>
          <w:b/>
          <w:bCs/>
          <w:sz w:val="24"/>
          <w:szCs w:val="24"/>
          <w:rtl/>
        </w:rPr>
        <w:t>הדירה הראשונה</w:t>
      </w:r>
      <w:r>
        <w:rPr>
          <w:rFonts w:ascii="David" w:hAnsi="David" w:cs="David"/>
          <w:sz w:val="24"/>
          <w:szCs w:val="24"/>
          <w:rtl/>
        </w:rPr>
        <w:t xml:space="preserve">"). </w:t>
      </w:r>
    </w:p>
    <w:p w14:paraId="72434E5F" w14:textId="77777777" w:rsidR="009A6074" w:rsidRDefault="009A6074" w:rsidP="007F2201">
      <w:pPr>
        <w:pStyle w:val="11"/>
        <w:spacing w:line="360" w:lineRule="auto"/>
        <w:jc w:val="both"/>
        <w:rPr>
          <w:rFonts w:ascii="David" w:hAnsi="David" w:cs="David"/>
          <w:sz w:val="24"/>
          <w:szCs w:val="24"/>
          <w:rtl/>
        </w:rPr>
      </w:pPr>
    </w:p>
    <w:p w14:paraId="1B22915E" w14:textId="77777777" w:rsidR="009A6074" w:rsidRDefault="00000000" w:rsidP="007F2201">
      <w:pPr>
        <w:pStyle w:val="11"/>
        <w:numPr>
          <w:ilvl w:val="0"/>
          <w:numId w:val="1"/>
        </w:numPr>
        <w:spacing w:line="360" w:lineRule="auto"/>
        <w:jc w:val="both"/>
        <w:rPr>
          <w:rFonts w:ascii="David" w:hAnsi="David" w:cs="David"/>
          <w:sz w:val="24"/>
          <w:szCs w:val="24"/>
        </w:rPr>
      </w:pPr>
      <w:r>
        <w:rPr>
          <w:rFonts w:ascii="David" w:hAnsi="David" w:cs="David"/>
          <w:sz w:val="24"/>
          <w:szCs w:val="24"/>
          <w:rtl/>
        </w:rPr>
        <w:t>ביום 23.4.2013 רכשו העוררים זכות לדירת מגורים בקבוצת רכישה בפרויקט מגדלי הצעירים בתל אביב (להלן: "</w:t>
      </w:r>
      <w:r>
        <w:rPr>
          <w:rFonts w:ascii="David" w:hAnsi="David" w:cs="David"/>
          <w:b/>
          <w:bCs/>
          <w:sz w:val="24"/>
          <w:szCs w:val="24"/>
          <w:rtl/>
        </w:rPr>
        <w:t>הזכות בקבוצת הרכישה</w:t>
      </w:r>
      <w:r>
        <w:rPr>
          <w:rFonts w:ascii="David" w:hAnsi="David" w:cs="David"/>
          <w:sz w:val="24"/>
          <w:szCs w:val="24"/>
          <w:rtl/>
        </w:rPr>
        <w:t xml:space="preserve">"). הרכישה הייתה ללא תמורה כשהמוכר הוא בנם של העוררים. </w:t>
      </w:r>
    </w:p>
    <w:p w14:paraId="182F8A8F" w14:textId="77777777" w:rsidR="009A6074" w:rsidRDefault="009A6074" w:rsidP="007F2201">
      <w:pPr>
        <w:pStyle w:val="11"/>
        <w:spacing w:line="360" w:lineRule="auto"/>
        <w:jc w:val="both"/>
        <w:rPr>
          <w:rFonts w:ascii="David" w:hAnsi="David" w:cs="David"/>
          <w:sz w:val="24"/>
          <w:szCs w:val="24"/>
        </w:rPr>
      </w:pPr>
    </w:p>
    <w:p w14:paraId="72E34765" w14:textId="77777777" w:rsidR="009A6074" w:rsidRDefault="00000000" w:rsidP="007F2201">
      <w:pPr>
        <w:pStyle w:val="11"/>
        <w:numPr>
          <w:ilvl w:val="0"/>
          <w:numId w:val="1"/>
        </w:numPr>
        <w:spacing w:line="360" w:lineRule="auto"/>
        <w:jc w:val="both"/>
        <w:rPr>
          <w:rFonts w:ascii="David" w:hAnsi="David" w:cs="David"/>
          <w:sz w:val="24"/>
          <w:szCs w:val="24"/>
        </w:rPr>
      </w:pPr>
      <w:r>
        <w:rPr>
          <w:rFonts w:ascii="David" w:hAnsi="David" w:cs="David"/>
          <w:sz w:val="24"/>
          <w:szCs w:val="24"/>
          <w:rtl/>
        </w:rPr>
        <w:t>ביום 27.5.2018 מכרו העוררים את הדירה הראשונה. למחרת, ביום 28.5.2018 רכשו העוררים דירת מגורים ברחוב אלדד 6 בירושלים, היא הדירה במוקד הערר, תמורת סך של 4,860,000 ₪ (להלן: "</w:t>
      </w:r>
      <w:r>
        <w:rPr>
          <w:rFonts w:ascii="David" w:hAnsi="David" w:cs="David"/>
          <w:b/>
          <w:bCs/>
          <w:sz w:val="24"/>
          <w:szCs w:val="24"/>
          <w:rtl/>
        </w:rPr>
        <w:t>הדירה השלישית</w:t>
      </w:r>
      <w:r>
        <w:rPr>
          <w:rFonts w:ascii="David" w:hAnsi="David" w:cs="David"/>
          <w:sz w:val="24"/>
          <w:szCs w:val="24"/>
          <w:rtl/>
        </w:rPr>
        <w:t>").</w:t>
      </w:r>
    </w:p>
    <w:p w14:paraId="1436D76B" w14:textId="77777777" w:rsidR="009A6074" w:rsidRDefault="009A6074" w:rsidP="007F2201">
      <w:pPr>
        <w:pStyle w:val="11"/>
        <w:spacing w:line="360" w:lineRule="auto"/>
        <w:jc w:val="both"/>
        <w:rPr>
          <w:rFonts w:ascii="David" w:hAnsi="David" w:cs="David"/>
          <w:sz w:val="24"/>
          <w:szCs w:val="24"/>
          <w:rtl/>
        </w:rPr>
      </w:pPr>
    </w:p>
    <w:p w14:paraId="16F2E2BD" w14:textId="77777777" w:rsidR="009A6074" w:rsidRDefault="00000000" w:rsidP="007F2201">
      <w:pPr>
        <w:pStyle w:val="11"/>
        <w:numPr>
          <w:ilvl w:val="0"/>
          <w:numId w:val="1"/>
        </w:numPr>
        <w:spacing w:line="360" w:lineRule="auto"/>
        <w:jc w:val="both"/>
        <w:rPr>
          <w:rFonts w:ascii="David" w:hAnsi="David" w:cs="David"/>
          <w:sz w:val="24"/>
          <w:szCs w:val="24"/>
        </w:rPr>
      </w:pPr>
      <w:r>
        <w:rPr>
          <w:rFonts w:ascii="David" w:hAnsi="David" w:cs="David"/>
          <w:sz w:val="24"/>
          <w:szCs w:val="24"/>
          <w:rtl/>
        </w:rPr>
        <w:t xml:space="preserve">בעת רכישת הדירה השלישית, הייתה בבעלות העוררים דירה נוספת, היא הזכות בקבוצת הרכישה. משכך, שילמו העוררים מס רכישה בהתאם למדרגות מס רכישה החלות על בעלי דירה נוספת בסך של 388,800 ₪. </w:t>
      </w:r>
    </w:p>
    <w:p w14:paraId="7EF12F58" w14:textId="77777777" w:rsidR="009A6074" w:rsidRDefault="009A6074" w:rsidP="007F2201">
      <w:pPr>
        <w:pStyle w:val="11"/>
        <w:spacing w:line="360" w:lineRule="auto"/>
        <w:jc w:val="both"/>
        <w:rPr>
          <w:rFonts w:ascii="David" w:hAnsi="David" w:cs="David"/>
          <w:sz w:val="24"/>
          <w:szCs w:val="24"/>
          <w:rtl/>
        </w:rPr>
      </w:pPr>
    </w:p>
    <w:p w14:paraId="05B23623" w14:textId="77777777" w:rsidR="009A6074" w:rsidRDefault="00000000" w:rsidP="007F2201">
      <w:pPr>
        <w:pStyle w:val="11"/>
        <w:numPr>
          <w:ilvl w:val="0"/>
          <w:numId w:val="1"/>
        </w:numPr>
        <w:spacing w:line="360" w:lineRule="auto"/>
        <w:jc w:val="both"/>
        <w:rPr>
          <w:rFonts w:ascii="David" w:hAnsi="David" w:cs="David"/>
          <w:sz w:val="24"/>
          <w:szCs w:val="24"/>
        </w:rPr>
      </w:pPr>
      <w:r>
        <w:rPr>
          <w:rFonts w:ascii="David" w:hAnsi="David" w:cs="David"/>
          <w:sz w:val="24"/>
          <w:szCs w:val="24"/>
          <w:rtl/>
        </w:rPr>
        <w:t>ביום 25.6.2018 נכנס לתוקף תיקון מספר 93 ל</w:t>
      </w:r>
      <w:hyperlink r:id="rId10" w:history="1">
        <w:r w:rsidR="00E32C0E" w:rsidRPr="00E32C0E">
          <w:rPr>
            <w:rStyle w:val="Hyperlink"/>
            <w:rFonts w:ascii="David" w:hAnsi="David" w:cs="David"/>
            <w:sz w:val="24"/>
            <w:szCs w:val="24"/>
            <w:rtl/>
          </w:rPr>
          <w:t>חוק מיסוי מקרקעין</w:t>
        </w:r>
      </w:hyperlink>
      <w:r>
        <w:rPr>
          <w:rFonts w:ascii="David" w:hAnsi="David" w:cs="David"/>
          <w:sz w:val="24"/>
          <w:szCs w:val="24"/>
          <w:rtl/>
        </w:rPr>
        <w:t xml:space="preserve"> (להלן: "</w:t>
      </w:r>
      <w:r>
        <w:rPr>
          <w:rFonts w:ascii="David" w:hAnsi="David" w:cs="David"/>
          <w:b/>
          <w:bCs/>
          <w:sz w:val="24"/>
          <w:szCs w:val="24"/>
          <w:rtl/>
        </w:rPr>
        <w:t>תיקון מספר 93</w:t>
      </w:r>
      <w:r>
        <w:rPr>
          <w:rFonts w:ascii="David" w:hAnsi="David" w:cs="David"/>
          <w:sz w:val="24"/>
          <w:szCs w:val="24"/>
          <w:rtl/>
        </w:rPr>
        <w:t>" או "</w:t>
      </w:r>
      <w:r>
        <w:rPr>
          <w:rFonts w:ascii="David" w:hAnsi="David" w:cs="David"/>
          <w:b/>
          <w:bCs/>
          <w:sz w:val="24"/>
          <w:szCs w:val="24"/>
          <w:rtl/>
        </w:rPr>
        <w:t>התיקון לחוק</w:t>
      </w:r>
      <w:r>
        <w:rPr>
          <w:rFonts w:ascii="David" w:hAnsi="David" w:cs="David"/>
          <w:sz w:val="24"/>
          <w:szCs w:val="24"/>
          <w:rtl/>
        </w:rPr>
        <w:t>") אשר אפשר לבעלי זכויות שרכשו זכות לדירת מגורים בקבוצת רכישה אשר בנייתה התעכבה, לרכוש דירה אחרת במדרגות מס של דירה יחידה, זאת כאשר עת רכשו את הדירה בקבוצת הרכישה, הייתה זו דירתם היחידה ובהתקיים תנאים נוספים.</w:t>
      </w:r>
    </w:p>
    <w:p w14:paraId="20D3973C" w14:textId="77777777" w:rsidR="009A6074" w:rsidRDefault="009A6074" w:rsidP="007F2201">
      <w:pPr>
        <w:pStyle w:val="11"/>
        <w:spacing w:line="360" w:lineRule="auto"/>
        <w:jc w:val="both"/>
        <w:rPr>
          <w:rFonts w:ascii="David" w:hAnsi="David" w:cs="David"/>
          <w:sz w:val="24"/>
          <w:szCs w:val="24"/>
          <w:rtl/>
        </w:rPr>
      </w:pPr>
    </w:p>
    <w:p w14:paraId="705DAD50" w14:textId="77777777" w:rsidR="009A6074" w:rsidRDefault="00000000" w:rsidP="007F2201">
      <w:pPr>
        <w:pStyle w:val="11"/>
        <w:numPr>
          <w:ilvl w:val="0"/>
          <w:numId w:val="1"/>
        </w:numPr>
        <w:spacing w:line="360" w:lineRule="auto"/>
        <w:jc w:val="both"/>
        <w:rPr>
          <w:rFonts w:ascii="David" w:hAnsi="David" w:cs="David"/>
          <w:sz w:val="24"/>
          <w:szCs w:val="24"/>
        </w:rPr>
      </w:pPr>
      <w:r>
        <w:rPr>
          <w:rFonts w:ascii="David" w:hAnsi="David" w:cs="David"/>
          <w:sz w:val="24"/>
          <w:szCs w:val="24"/>
          <w:rtl/>
        </w:rPr>
        <w:t xml:space="preserve">ביום 15.8.2018 פנו העוררים בבקשה לתיקון השומה (נספח 1 לתצהיר המשיב), במסגרתה טענו כי יש לראות את רכישת הדירה השלישית כדירה יחידה לצורך שומת המס, נוכח העיכובים בהתקדמות הפרויקט של קבוצת הרכישה בה רכשו זכות, ונוכח מכירת הדירה הראשונה. </w:t>
      </w:r>
    </w:p>
    <w:p w14:paraId="54CED211" w14:textId="77777777" w:rsidR="009A6074" w:rsidRDefault="009A6074" w:rsidP="007F2201">
      <w:pPr>
        <w:pStyle w:val="11"/>
        <w:spacing w:line="360" w:lineRule="auto"/>
        <w:jc w:val="both"/>
        <w:rPr>
          <w:rFonts w:ascii="David" w:hAnsi="David" w:cs="David"/>
          <w:sz w:val="24"/>
          <w:szCs w:val="24"/>
          <w:rtl/>
        </w:rPr>
      </w:pPr>
    </w:p>
    <w:p w14:paraId="1D5DC7B2" w14:textId="77777777" w:rsidR="009A6074" w:rsidRDefault="00000000" w:rsidP="007F2201">
      <w:pPr>
        <w:pStyle w:val="11"/>
        <w:numPr>
          <w:ilvl w:val="0"/>
          <w:numId w:val="1"/>
        </w:numPr>
        <w:spacing w:line="360" w:lineRule="auto"/>
        <w:jc w:val="both"/>
        <w:rPr>
          <w:rFonts w:ascii="David" w:hAnsi="David" w:cs="David"/>
          <w:sz w:val="24"/>
          <w:szCs w:val="24"/>
        </w:rPr>
      </w:pPr>
      <w:r>
        <w:rPr>
          <w:rFonts w:ascii="David" w:hAnsi="David" w:cs="David"/>
          <w:sz w:val="24"/>
          <w:szCs w:val="24"/>
          <w:rtl/>
        </w:rPr>
        <w:t>בעקבות פניית העוררים, ביום 1.1.2019 התקבלה החלטת המשיב בעניינם (שם, נספח 2), לפיה שומת המס של העוררים עבור הדירה השלישית תוקפא, וכי השומה תשונה לדירה יחידה לאחר מכירת הדירה שנרכשה בקבוצת הרכישה בתקופה שצוינה בסעיף 2(ב) לתיקון מספר 93 לחוק.</w:t>
      </w:r>
    </w:p>
    <w:p w14:paraId="31C2B242" w14:textId="77777777" w:rsidR="009A6074" w:rsidRDefault="009A6074" w:rsidP="007F2201">
      <w:pPr>
        <w:pStyle w:val="11"/>
        <w:spacing w:line="360" w:lineRule="auto"/>
        <w:jc w:val="both"/>
        <w:rPr>
          <w:rFonts w:ascii="David" w:hAnsi="David" w:cs="David"/>
          <w:sz w:val="24"/>
          <w:szCs w:val="24"/>
          <w:rtl/>
        </w:rPr>
      </w:pPr>
    </w:p>
    <w:p w14:paraId="153D6978" w14:textId="77777777" w:rsidR="009A6074" w:rsidRDefault="00000000" w:rsidP="003B17CA">
      <w:pPr>
        <w:pStyle w:val="11"/>
        <w:numPr>
          <w:ilvl w:val="0"/>
          <w:numId w:val="1"/>
        </w:numPr>
        <w:spacing w:line="360" w:lineRule="auto"/>
        <w:jc w:val="both"/>
        <w:rPr>
          <w:rFonts w:ascii="David" w:hAnsi="David" w:cs="David"/>
          <w:sz w:val="24"/>
          <w:szCs w:val="24"/>
        </w:rPr>
      </w:pPr>
      <w:r>
        <w:rPr>
          <w:rFonts w:ascii="David" w:hAnsi="David" w:cs="David"/>
          <w:sz w:val="24"/>
          <w:szCs w:val="24"/>
          <w:rtl/>
        </w:rPr>
        <w:t xml:space="preserve">ביום 17.1.2019 התקבל פסק דין לטובת העוררים, בתיק </w:t>
      </w:r>
      <w:hyperlink r:id="rId11" w:history="1">
        <w:r w:rsidR="00E32C0E" w:rsidRPr="00E32C0E">
          <w:rPr>
            <w:rStyle w:val="Hyperlink"/>
            <w:rFonts w:ascii="David" w:hAnsi="David" w:cs="David"/>
            <w:sz w:val="24"/>
            <w:szCs w:val="24"/>
            <w:rtl/>
          </w:rPr>
          <w:t>ו"ע 27213-02-19</w:t>
        </w:r>
      </w:hyperlink>
      <w:r>
        <w:rPr>
          <w:rFonts w:ascii="David" w:hAnsi="David" w:cs="David"/>
          <w:sz w:val="24"/>
          <w:szCs w:val="24"/>
          <w:rtl/>
        </w:rPr>
        <w:t xml:space="preserve"> </w:t>
      </w:r>
      <w:r>
        <w:rPr>
          <w:rFonts w:ascii="David" w:hAnsi="David" w:cs="David"/>
          <w:b/>
          <w:bCs/>
          <w:sz w:val="24"/>
          <w:szCs w:val="24"/>
          <w:rtl/>
        </w:rPr>
        <w:t>מלכיאור נ' מנהל מיסוי מקרקעין מחוז תל אביב</w:t>
      </w:r>
      <w:r>
        <w:rPr>
          <w:rFonts w:ascii="David" w:hAnsi="David" w:cs="David"/>
          <w:sz w:val="24"/>
          <w:szCs w:val="24"/>
          <w:rtl/>
        </w:rPr>
        <w:t xml:space="preserve"> </w:t>
      </w:r>
      <w:r w:rsidR="009F4C88">
        <w:rPr>
          <w:rFonts w:ascii="David" w:hAnsi="David" w:cs="David"/>
          <w:sz w:val="24"/>
          <w:szCs w:val="24"/>
          <w:rtl/>
        </w:rPr>
        <w:t>[נבו]</w:t>
      </w:r>
      <w:r w:rsidR="009F4C88">
        <w:rPr>
          <w:rFonts w:ascii="David" w:hAnsi="David" w:cs="David" w:hint="cs"/>
          <w:sz w:val="24"/>
          <w:szCs w:val="24"/>
          <w:rtl/>
        </w:rPr>
        <w:t xml:space="preserve"> </w:t>
      </w:r>
      <w:r>
        <w:rPr>
          <w:rFonts w:ascii="David" w:hAnsi="David" w:cs="David"/>
          <w:sz w:val="24"/>
          <w:szCs w:val="24"/>
          <w:rtl/>
        </w:rPr>
        <w:t>(17.1.2019) (להלן: "</w:t>
      </w:r>
      <w:r>
        <w:rPr>
          <w:rFonts w:ascii="David" w:hAnsi="David" w:cs="David"/>
          <w:b/>
          <w:bCs/>
          <w:sz w:val="24"/>
          <w:szCs w:val="24"/>
          <w:rtl/>
        </w:rPr>
        <w:t>פסק הדין מיום 17.1.2019</w:t>
      </w:r>
      <w:r>
        <w:rPr>
          <w:rFonts w:ascii="David" w:hAnsi="David" w:cs="David"/>
          <w:sz w:val="24"/>
          <w:szCs w:val="24"/>
          <w:rtl/>
        </w:rPr>
        <w:t>" או "</w:t>
      </w:r>
      <w:r>
        <w:rPr>
          <w:rFonts w:ascii="David" w:hAnsi="David" w:cs="David"/>
          <w:b/>
          <w:bCs/>
          <w:sz w:val="24"/>
          <w:szCs w:val="24"/>
          <w:rtl/>
        </w:rPr>
        <w:t>עניין 27213-02-19</w:t>
      </w:r>
      <w:r>
        <w:rPr>
          <w:rFonts w:ascii="David" w:hAnsi="David" w:cs="David"/>
          <w:sz w:val="24"/>
          <w:szCs w:val="24"/>
          <w:rtl/>
        </w:rPr>
        <w:t xml:space="preserve">"), אשר עסק בהקלת מס רכישה עבור הדירה בקבוצת הרכישה שרכשו העוררים. שם נקבע, כי בנסיבות העניין ובהתאם </w:t>
      </w:r>
      <w:hyperlink r:id="rId12" w:history="1">
        <w:r w:rsidR="00E32C0E" w:rsidRPr="00E32C0E">
          <w:rPr>
            <w:rStyle w:val="Hyperlink"/>
            <w:rFonts w:ascii="David" w:hAnsi="David" w:cs="David"/>
            <w:sz w:val="24"/>
            <w:szCs w:val="24"/>
            <w:rtl/>
          </w:rPr>
          <w:t>לסעיף 9(ג1ג)(2)(ב)</w:t>
        </w:r>
      </w:hyperlink>
      <w:r>
        <w:rPr>
          <w:rFonts w:ascii="David" w:hAnsi="David" w:cs="David"/>
          <w:sz w:val="24"/>
          <w:szCs w:val="24"/>
          <w:rtl/>
        </w:rPr>
        <w:t xml:space="preserve"> לחוק, יש לראות בדירה בקבוצת הרכישה כדירה חלופית לדירה הראשונה ולסווגה כדירה יחידה לצורך חישוב שומת מס הרכישה. בהתאם, לאחר תום בניית הדירה בקבוצת הרכישה התחייבו העוררים למכור את דירתם הראשונה. </w:t>
      </w:r>
    </w:p>
    <w:p w14:paraId="7003CBC0" w14:textId="77777777" w:rsidR="009A6074" w:rsidRDefault="009A6074" w:rsidP="007F2201">
      <w:pPr>
        <w:pStyle w:val="11"/>
        <w:spacing w:line="360" w:lineRule="auto"/>
        <w:jc w:val="both"/>
        <w:rPr>
          <w:rFonts w:ascii="David" w:hAnsi="David" w:cs="David"/>
          <w:sz w:val="24"/>
          <w:szCs w:val="24"/>
          <w:rtl/>
        </w:rPr>
      </w:pPr>
    </w:p>
    <w:p w14:paraId="5CAC7691" w14:textId="77777777" w:rsidR="009A6074" w:rsidRDefault="00000000" w:rsidP="007F2201">
      <w:pPr>
        <w:pStyle w:val="11"/>
        <w:numPr>
          <w:ilvl w:val="0"/>
          <w:numId w:val="1"/>
        </w:numPr>
        <w:spacing w:line="360" w:lineRule="auto"/>
        <w:jc w:val="both"/>
        <w:rPr>
          <w:rFonts w:ascii="David" w:hAnsi="David" w:cs="David"/>
          <w:sz w:val="24"/>
          <w:szCs w:val="24"/>
        </w:rPr>
      </w:pPr>
      <w:r>
        <w:rPr>
          <w:rFonts w:ascii="David" w:hAnsi="David" w:cs="David"/>
          <w:sz w:val="24"/>
          <w:szCs w:val="24"/>
          <w:rtl/>
        </w:rPr>
        <w:t xml:space="preserve">עם יישום פסק הדין מיום 17.1.2019, התברר למשיב כי נעשתה טעות בהחלטתו הראשונה מיום 1.1.2019. בהתאם לכך, ביום 3.3.2021 תיקן המשיב את ההחלטה שניתנה בבקשה לתיקון שומה שהגישו העוררים ונקבע כי העוררים אינם זכאים להקלה במס הרכישה ברכישת הדירה ברחוב אלדד מכוח תיקון מספר 93 לחוק, משום שבעת רכישת הזכות בקבוצת הרכישה, הייתה בבעלותם דירת מגורים, היא הדירה הראשונה, ולכן התיקון לחוק לא חל בעניינם (שם, נספח 3). </w:t>
      </w:r>
    </w:p>
    <w:p w14:paraId="5F4D6F37" w14:textId="77777777" w:rsidR="009A6074" w:rsidRDefault="009A6074" w:rsidP="007F2201">
      <w:pPr>
        <w:pStyle w:val="11"/>
        <w:rPr>
          <w:rFonts w:ascii="David" w:hAnsi="David" w:cs="David"/>
          <w:sz w:val="24"/>
          <w:szCs w:val="24"/>
        </w:rPr>
      </w:pPr>
    </w:p>
    <w:p w14:paraId="38B08951" w14:textId="77777777" w:rsidR="009A6074" w:rsidRDefault="00000000" w:rsidP="007F2201">
      <w:pPr>
        <w:pStyle w:val="11"/>
        <w:numPr>
          <w:ilvl w:val="0"/>
          <w:numId w:val="1"/>
        </w:numPr>
        <w:spacing w:line="360" w:lineRule="auto"/>
        <w:jc w:val="both"/>
        <w:rPr>
          <w:rFonts w:ascii="David" w:hAnsi="David" w:cs="David"/>
          <w:sz w:val="24"/>
          <w:szCs w:val="24"/>
          <w:rtl/>
        </w:rPr>
      </w:pPr>
      <w:r>
        <w:rPr>
          <w:rFonts w:ascii="David" w:hAnsi="David" w:cs="David"/>
          <w:sz w:val="24"/>
          <w:szCs w:val="24"/>
          <w:rtl/>
        </w:rPr>
        <w:t xml:space="preserve">בהחלטה השנייה קבע המשיב כי יש לתקן את שומת העוררים פעם נוספת ולערוך לגביה חישוב בהתאם </w:t>
      </w:r>
      <w:hyperlink r:id="rId13" w:history="1">
        <w:r w:rsidR="00E32C0E" w:rsidRPr="00E32C0E">
          <w:rPr>
            <w:rStyle w:val="Hyperlink"/>
            <w:rFonts w:ascii="David" w:hAnsi="David" w:cs="David"/>
            <w:sz w:val="24"/>
            <w:szCs w:val="24"/>
            <w:rtl/>
          </w:rPr>
          <w:t>לסעיף 9(ג1ה)</w:t>
        </w:r>
      </w:hyperlink>
      <w:r>
        <w:rPr>
          <w:rFonts w:ascii="David" w:hAnsi="David" w:cs="David"/>
          <w:sz w:val="24"/>
          <w:szCs w:val="24"/>
          <w:rtl/>
        </w:rPr>
        <w:t xml:space="preserve"> לחוק, היינו, חישוב מס רכישה בהתאם לדירה נוספת. בעקבות כך, הוציא המשיב לעוררים שומת מס רכישה מתוקנת, בסכום של 388,800 ₪, ומכאן הערר. בהקשר זה יצוין כי העוררים בחרו שלא להגיש השגה על החלטת תיקון השומה.</w:t>
      </w:r>
    </w:p>
    <w:p w14:paraId="6790B753" w14:textId="77777777" w:rsidR="009A6074" w:rsidRDefault="00000000" w:rsidP="007F2201">
      <w:pPr>
        <w:spacing w:line="360" w:lineRule="auto"/>
        <w:jc w:val="both"/>
        <w:rPr>
          <w:rFonts w:ascii="David" w:hAnsi="David"/>
          <w:b/>
          <w:bCs/>
          <w:noProof w:val="0"/>
          <w:u w:val="single"/>
          <w:rtl/>
        </w:rPr>
      </w:pPr>
      <w:r>
        <w:rPr>
          <w:rFonts w:ascii="David" w:hAnsi="David"/>
          <w:b/>
          <w:bCs/>
          <w:noProof w:val="0"/>
          <w:u w:val="single"/>
          <w:rtl/>
        </w:rPr>
        <w:t>תמצית טענות הצדדים</w:t>
      </w:r>
    </w:p>
    <w:p w14:paraId="35D5CF42" w14:textId="77777777" w:rsidR="009A6074" w:rsidRDefault="00000000" w:rsidP="007F2201">
      <w:pPr>
        <w:spacing w:line="360" w:lineRule="auto"/>
        <w:jc w:val="both"/>
        <w:rPr>
          <w:rFonts w:ascii="David" w:hAnsi="David"/>
          <w:noProof w:val="0"/>
          <w:u w:val="single"/>
          <w:rtl/>
        </w:rPr>
      </w:pPr>
      <w:r>
        <w:rPr>
          <w:rFonts w:ascii="David" w:hAnsi="David"/>
          <w:noProof w:val="0"/>
          <w:u w:val="single"/>
          <w:rtl/>
        </w:rPr>
        <w:t>טענות העוררים</w:t>
      </w:r>
    </w:p>
    <w:p w14:paraId="667CE43A" w14:textId="77777777" w:rsidR="009A6074" w:rsidRDefault="00000000" w:rsidP="007F2201">
      <w:pPr>
        <w:pStyle w:val="11"/>
        <w:numPr>
          <w:ilvl w:val="0"/>
          <w:numId w:val="1"/>
        </w:numPr>
        <w:spacing w:line="360" w:lineRule="auto"/>
        <w:jc w:val="both"/>
        <w:rPr>
          <w:rFonts w:ascii="David" w:hAnsi="David" w:cs="David"/>
          <w:sz w:val="24"/>
          <w:szCs w:val="24"/>
        </w:rPr>
      </w:pPr>
      <w:r>
        <w:rPr>
          <w:rFonts w:ascii="David" w:hAnsi="David" w:cs="David"/>
          <w:sz w:val="24"/>
          <w:szCs w:val="24"/>
          <w:rtl/>
        </w:rPr>
        <w:t xml:space="preserve">לטענת העוררים, יש לפרש את המושג "דירה יחידה" ככוללת גם דירה חלופית שהיא בחזקת דירה יחידה. לדידם, כאשר קבע המחוקק כי התנאי להחלת הסעיף הינו שבעת רכישת הזכות בקבוצת רכישה הייתה זו דירתו היחידה של הרוכש, התכוון המחוקק גם למצב בו הזכות בקבוצת רכישה מהווה דירה חלופית. קרי, כאשר התחייב הרוכש למכור דירה קיימת תוך 18 חודשים מיום רכישת הדירה בקבוצת רכישה או תוך 12 חודש מיום סיום בנייתה, לפי המאוחר. </w:t>
      </w:r>
    </w:p>
    <w:p w14:paraId="604C6953" w14:textId="77777777" w:rsidR="009A6074" w:rsidRDefault="009A6074" w:rsidP="007F2201">
      <w:pPr>
        <w:pStyle w:val="11"/>
        <w:spacing w:line="360" w:lineRule="auto"/>
        <w:jc w:val="both"/>
        <w:rPr>
          <w:rFonts w:ascii="David" w:hAnsi="David" w:cs="David"/>
          <w:sz w:val="24"/>
          <w:szCs w:val="24"/>
        </w:rPr>
      </w:pPr>
    </w:p>
    <w:p w14:paraId="6E717056" w14:textId="77777777" w:rsidR="009A6074" w:rsidRDefault="00000000" w:rsidP="007749EE">
      <w:pPr>
        <w:pStyle w:val="11"/>
        <w:numPr>
          <w:ilvl w:val="0"/>
          <w:numId w:val="1"/>
        </w:numPr>
        <w:spacing w:line="360" w:lineRule="auto"/>
        <w:jc w:val="both"/>
        <w:rPr>
          <w:rFonts w:ascii="David" w:hAnsi="David" w:cs="David"/>
          <w:sz w:val="24"/>
          <w:szCs w:val="24"/>
        </w:rPr>
      </w:pPr>
      <w:r>
        <w:rPr>
          <w:rFonts w:ascii="David" w:hAnsi="David" w:cs="David"/>
          <w:sz w:val="24"/>
          <w:szCs w:val="24"/>
          <w:rtl/>
        </w:rPr>
        <w:t xml:space="preserve">לטענת העוררים, החלטת המשיב לתיקון השומה התקבלה מבלי שהתקיים כל דיון בטרם מתן ההחלטה השנייה ובלי שעמדו בפני המשיב עובדות חדשות או שינוי נסיבות. כך לטענתם, בהחלטה השנייה לא צוין מה היא העילה מכוח </w:t>
      </w:r>
      <w:hyperlink r:id="rId14" w:history="1">
        <w:r w:rsidR="00E32C0E" w:rsidRPr="00E32C0E">
          <w:rPr>
            <w:rStyle w:val="Hyperlink"/>
            <w:rFonts w:ascii="David" w:hAnsi="David" w:cs="David"/>
            <w:sz w:val="24"/>
            <w:szCs w:val="24"/>
            <w:rtl/>
          </w:rPr>
          <w:t>סעיף 85</w:t>
        </w:r>
      </w:hyperlink>
      <w:r>
        <w:rPr>
          <w:rFonts w:ascii="David" w:hAnsi="David" w:cs="David"/>
          <w:sz w:val="24"/>
          <w:szCs w:val="24"/>
          <w:rtl/>
        </w:rPr>
        <w:t xml:space="preserve"> לחוק, לפיה שינה המשיב את השומה ולא ניתנה הנמקה מספקת. </w:t>
      </w:r>
    </w:p>
    <w:p w14:paraId="10EF959F" w14:textId="77777777" w:rsidR="009A6074" w:rsidRDefault="009A6074" w:rsidP="007F2201">
      <w:pPr>
        <w:pStyle w:val="11"/>
        <w:spacing w:line="360" w:lineRule="auto"/>
        <w:jc w:val="both"/>
        <w:rPr>
          <w:rFonts w:ascii="David" w:hAnsi="David" w:cs="David"/>
          <w:sz w:val="24"/>
          <w:szCs w:val="24"/>
        </w:rPr>
      </w:pPr>
    </w:p>
    <w:p w14:paraId="524BAA56" w14:textId="77777777" w:rsidR="009A6074" w:rsidRDefault="00000000" w:rsidP="007749EE">
      <w:pPr>
        <w:pStyle w:val="11"/>
        <w:numPr>
          <w:ilvl w:val="0"/>
          <w:numId w:val="1"/>
        </w:numPr>
        <w:spacing w:line="360" w:lineRule="auto"/>
        <w:jc w:val="both"/>
        <w:rPr>
          <w:rFonts w:ascii="David" w:hAnsi="David" w:cs="David"/>
          <w:sz w:val="24"/>
          <w:szCs w:val="24"/>
        </w:rPr>
      </w:pPr>
      <w:r>
        <w:rPr>
          <w:rFonts w:ascii="David" w:hAnsi="David" w:cs="David"/>
          <w:sz w:val="24"/>
          <w:szCs w:val="24"/>
          <w:rtl/>
        </w:rPr>
        <w:t xml:space="preserve">לטענת העוררים, התנהלות זו של המשיב בהליך השומתי, מראה כי תיקון השומה על ידי המשיב נעשה על רקע שיקולים זרים וכאקט עונשי, בעקבות הפסד המשיב בהליך משפטי אחר בינו לבין העוררים- בפסק הדין 27213-02-19 מיום 17.1.2019. </w:t>
      </w:r>
    </w:p>
    <w:p w14:paraId="3BD27A36" w14:textId="77777777" w:rsidR="009A6074" w:rsidRPr="007749EE" w:rsidRDefault="009A6074" w:rsidP="007F2201">
      <w:pPr>
        <w:pStyle w:val="11"/>
        <w:spacing w:line="360" w:lineRule="auto"/>
        <w:jc w:val="both"/>
        <w:rPr>
          <w:rFonts w:ascii="David" w:hAnsi="David" w:cs="David"/>
          <w:sz w:val="24"/>
          <w:szCs w:val="24"/>
        </w:rPr>
      </w:pPr>
    </w:p>
    <w:p w14:paraId="14A742B6" w14:textId="77777777" w:rsidR="009A6074" w:rsidRDefault="00000000" w:rsidP="007F2201">
      <w:pPr>
        <w:pStyle w:val="11"/>
        <w:numPr>
          <w:ilvl w:val="0"/>
          <w:numId w:val="1"/>
        </w:numPr>
        <w:spacing w:line="360" w:lineRule="auto"/>
        <w:jc w:val="both"/>
        <w:rPr>
          <w:rFonts w:ascii="David" w:hAnsi="David" w:cs="David"/>
          <w:sz w:val="24"/>
          <w:szCs w:val="24"/>
        </w:rPr>
      </w:pPr>
      <w:r>
        <w:rPr>
          <w:rFonts w:ascii="David" w:hAnsi="David" w:cs="David"/>
          <w:sz w:val="24"/>
          <w:szCs w:val="24"/>
          <w:rtl/>
        </w:rPr>
        <w:t xml:space="preserve">עוד לפי העוררים, מידת הסתמכותם על ההחלטה הראשונה היא רבה, גם לאור משך הזמן שעבר מאז ניתנה. כך לטענתם, הסיבה לשינוי איננה בטעות של העוררים או בהסתרת מידע על ידם, והנזק שייגרם להם כנישומים הינו גבוה מאד ואין אינטרס ציבורי רחב בעניין זה שכן מדובר בסוגיה שאיננה רווחת בציבור. </w:t>
      </w:r>
    </w:p>
    <w:p w14:paraId="6FB6F277" w14:textId="77777777" w:rsidR="009A6074" w:rsidRDefault="00000000" w:rsidP="007F2201">
      <w:pPr>
        <w:spacing w:line="360" w:lineRule="auto"/>
        <w:jc w:val="both"/>
        <w:rPr>
          <w:rFonts w:ascii="David" w:hAnsi="David"/>
          <w:u w:val="single"/>
        </w:rPr>
      </w:pPr>
      <w:r>
        <w:rPr>
          <w:rFonts w:ascii="David" w:hAnsi="David"/>
          <w:noProof w:val="0"/>
          <w:u w:val="single"/>
          <w:rtl/>
        </w:rPr>
        <w:t>טענות המשיב</w:t>
      </w:r>
    </w:p>
    <w:p w14:paraId="5880C1D4" w14:textId="77777777" w:rsidR="009A6074" w:rsidRDefault="00000000" w:rsidP="007F2201">
      <w:pPr>
        <w:pStyle w:val="11"/>
        <w:numPr>
          <w:ilvl w:val="0"/>
          <w:numId w:val="1"/>
        </w:numPr>
        <w:spacing w:line="360" w:lineRule="auto"/>
        <w:jc w:val="both"/>
        <w:rPr>
          <w:rFonts w:ascii="David" w:hAnsi="David" w:cs="David"/>
          <w:sz w:val="24"/>
          <w:szCs w:val="24"/>
          <w:rtl/>
        </w:rPr>
      </w:pPr>
      <w:r>
        <w:rPr>
          <w:rFonts w:ascii="David" w:hAnsi="David" w:cs="David"/>
          <w:sz w:val="24"/>
          <w:szCs w:val="24"/>
          <w:rtl/>
        </w:rPr>
        <w:t xml:space="preserve">לטענת המשיב, העוררים אינם באים בגדרו של </w:t>
      </w:r>
      <w:hyperlink r:id="rId15" w:history="1">
        <w:r w:rsidR="00E32C0E" w:rsidRPr="00E32C0E">
          <w:rPr>
            <w:rStyle w:val="Hyperlink"/>
            <w:rFonts w:ascii="David" w:hAnsi="David" w:cs="David"/>
            <w:sz w:val="24"/>
            <w:szCs w:val="24"/>
            <w:rtl/>
          </w:rPr>
          <w:t>סעיף 9(ג1ג)(2)(ב1)</w:t>
        </w:r>
      </w:hyperlink>
      <w:r>
        <w:rPr>
          <w:rFonts w:ascii="David" w:hAnsi="David" w:cs="David"/>
          <w:sz w:val="24"/>
          <w:szCs w:val="24"/>
          <w:rtl/>
        </w:rPr>
        <w:t xml:space="preserve"> שהוסף בתיקון 93 לחוק, שכן בעת רכישת הדירה בקבוצת הרכישה הייתה בבעלות העוררים הדירה הראשונה. לדידו, אין ממש בטענות העוררים מאחר והפרשנות שהציעו לתיקון מספר 93 לחוק, חסרת עיגון לשוני ואינה תואמת את הפרשנות התכליתית של החוק. </w:t>
      </w:r>
    </w:p>
    <w:p w14:paraId="5E98D2EE" w14:textId="77777777" w:rsidR="009A6074" w:rsidRDefault="009A6074" w:rsidP="007F2201">
      <w:pPr>
        <w:pStyle w:val="11"/>
        <w:spacing w:line="360" w:lineRule="auto"/>
        <w:jc w:val="both"/>
        <w:rPr>
          <w:rFonts w:ascii="David" w:hAnsi="David" w:cs="David"/>
          <w:sz w:val="24"/>
          <w:szCs w:val="24"/>
        </w:rPr>
      </w:pPr>
    </w:p>
    <w:p w14:paraId="27E0EA66" w14:textId="77777777" w:rsidR="009A6074" w:rsidRDefault="00000000" w:rsidP="007749EE">
      <w:pPr>
        <w:pStyle w:val="11"/>
        <w:numPr>
          <w:ilvl w:val="0"/>
          <w:numId w:val="1"/>
        </w:numPr>
        <w:spacing w:line="360" w:lineRule="auto"/>
        <w:jc w:val="both"/>
        <w:rPr>
          <w:rFonts w:ascii="David" w:hAnsi="David" w:cs="David"/>
          <w:sz w:val="24"/>
          <w:szCs w:val="24"/>
        </w:rPr>
      </w:pPr>
      <w:r>
        <w:rPr>
          <w:rFonts w:ascii="David" w:hAnsi="David" w:cs="David"/>
          <w:sz w:val="24"/>
          <w:szCs w:val="24"/>
          <w:rtl/>
        </w:rPr>
        <w:t xml:space="preserve">עוד לפי המשיב, לתא המשפחתי של העוררים הייתה דירת מגורים בעוד רכישת הזכות בקבוצת הרכישה נועדה לשפר את מגוריהם, ולכן התיקון לחוק לא חל בעניינם. לטענתו, לא בכדי טענו העוררים להקלה לפי סעיף קבוצת הרכישה, שכן סעיף חלופת המגורים לא חל על המצב בו הם מצויים- מקרה של שיפור מגורים. </w:t>
      </w:r>
    </w:p>
    <w:p w14:paraId="7A8D2125" w14:textId="77777777" w:rsidR="009A6074" w:rsidRDefault="009A6074" w:rsidP="007F2201">
      <w:pPr>
        <w:pStyle w:val="11"/>
        <w:spacing w:line="360" w:lineRule="auto"/>
        <w:jc w:val="both"/>
        <w:rPr>
          <w:rFonts w:ascii="David" w:hAnsi="David" w:cs="David"/>
          <w:sz w:val="24"/>
          <w:szCs w:val="24"/>
        </w:rPr>
      </w:pPr>
    </w:p>
    <w:p w14:paraId="133D7D55" w14:textId="77777777" w:rsidR="009A6074" w:rsidRDefault="00000000" w:rsidP="007749EE">
      <w:pPr>
        <w:pStyle w:val="11"/>
        <w:numPr>
          <w:ilvl w:val="0"/>
          <w:numId w:val="1"/>
        </w:numPr>
        <w:spacing w:line="360" w:lineRule="auto"/>
        <w:jc w:val="both"/>
        <w:rPr>
          <w:rFonts w:ascii="David" w:hAnsi="David" w:cs="David"/>
          <w:sz w:val="24"/>
          <w:szCs w:val="24"/>
        </w:rPr>
      </w:pPr>
      <w:r>
        <w:rPr>
          <w:rFonts w:ascii="David" w:hAnsi="David" w:cs="David"/>
          <w:sz w:val="24"/>
          <w:szCs w:val="24"/>
          <w:rtl/>
        </w:rPr>
        <w:t>לטענת המשיב, עם יישום פסק הדין מיום 17.1.2019, עלה כי נפלה טעות בשומה שהוצאה לעוררים ולכן המשיב היה מוסמך לתקנה. עוד לגישת המשיב, טענות העוררים המייחסות לו "נקמנות" או "אקט עונשי" הן ספקולציות אשר לא נתמכו בראיות כלל. מדובר במשרדי שומה שונים ואין כל קשר בין ההליך בתל אביב לבין ההליך דנא.</w:t>
      </w:r>
    </w:p>
    <w:p w14:paraId="38FDE724" w14:textId="77777777" w:rsidR="009A6074" w:rsidRPr="007749EE" w:rsidRDefault="009A6074" w:rsidP="007F2201">
      <w:pPr>
        <w:pStyle w:val="11"/>
        <w:spacing w:line="360" w:lineRule="auto"/>
        <w:jc w:val="both"/>
        <w:rPr>
          <w:rFonts w:ascii="David" w:hAnsi="David" w:cs="David"/>
          <w:sz w:val="24"/>
          <w:szCs w:val="24"/>
          <w:rtl/>
        </w:rPr>
      </w:pPr>
    </w:p>
    <w:p w14:paraId="7F9931EE" w14:textId="77777777" w:rsidR="009A6074" w:rsidRDefault="00000000" w:rsidP="007F2201">
      <w:pPr>
        <w:pStyle w:val="11"/>
        <w:numPr>
          <w:ilvl w:val="0"/>
          <w:numId w:val="1"/>
        </w:numPr>
        <w:spacing w:line="360" w:lineRule="auto"/>
        <w:jc w:val="both"/>
        <w:rPr>
          <w:rFonts w:ascii="David" w:hAnsi="David" w:cs="David"/>
          <w:sz w:val="24"/>
          <w:szCs w:val="24"/>
        </w:rPr>
      </w:pPr>
      <w:r>
        <w:rPr>
          <w:rFonts w:ascii="David" w:hAnsi="David" w:cs="David"/>
          <w:sz w:val="24"/>
          <w:szCs w:val="24"/>
          <w:rtl/>
        </w:rPr>
        <w:t xml:space="preserve">עוד טען המשיב, כי אין ממש בטענת העוררים לפגיעה בזכות הטיעון, שכן </w:t>
      </w:r>
      <w:hyperlink r:id="rId16" w:history="1">
        <w:r w:rsidR="00E32C0E" w:rsidRPr="00E32C0E">
          <w:rPr>
            <w:rStyle w:val="Hyperlink"/>
            <w:rFonts w:ascii="David" w:hAnsi="David" w:cs="David"/>
            <w:sz w:val="24"/>
            <w:szCs w:val="24"/>
            <w:rtl/>
          </w:rPr>
          <w:t>בסעיף 85</w:t>
        </w:r>
      </w:hyperlink>
      <w:r>
        <w:rPr>
          <w:rFonts w:ascii="David" w:hAnsi="David" w:cs="David"/>
          <w:sz w:val="24"/>
          <w:szCs w:val="24"/>
          <w:rtl/>
        </w:rPr>
        <w:t xml:space="preserve"> לחוק אין קביעה כי יש לשמוע את הנישום בטרם ההחלטה על תיקון השומה, זאת בניגוד </w:t>
      </w:r>
      <w:hyperlink r:id="rId17" w:history="1">
        <w:r w:rsidR="00E32C0E" w:rsidRPr="00E32C0E">
          <w:rPr>
            <w:rStyle w:val="Hyperlink"/>
            <w:rFonts w:ascii="David" w:hAnsi="David" w:cs="David"/>
            <w:sz w:val="24"/>
            <w:szCs w:val="24"/>
            <w:rtl/>
          </w:rPr>
          <w:t>לסעיף 87</w:t>
        </w:r>
      </w:hyperlink>
      <w:r>
        <w:rPr>
          <w:rFonts w:ascii="David" w:hAnsi="David" w:cs="David"/>
          <w:sz w:val="24"/>
          <w:szCs w:val="24"/>
          <w:rtl/>
        </w:rPr>
        <w:t xml:space="preserve"> לחוק, הקובע את זכות ההשגה גם על שומה שתוקנה, זכות אשר העוררים וויתרו עליה. </w:t>
      </w:r>
    </w:p>
    <w:p w14:paraId="331D8035" w14:textId="77777777" w:rsidR="009A6074" w:rsidRDefault="00000000" w:rsidP="007F2201">
      <w:pPr>
        <w:spacing w:line="360" w:lineRule="auto"/>
        <w:jc w:val="both"/>
        <w:rPr>
          <w:rFonts w:ascii="David" w:hAnsi="David"/>
          <w:b/>
          <w:bCs/>
          <w:noProof w:val="0"/>
          <w:u w:val="single"/>
          <w:rtl/>
        </w:rPr>
      </w:pPr>
      <w:r>
        <w:rPr>
          <w:rFonts w:ascii="David" w:hAnsi="David"/>
          <w:b/>
          <w:bCs/>
          <w:noProof w:val="0"/>
          <w:u w:val="single"/>
          <w:rtl/>
        </w:rPr>
        <w:t xml:space="preserve">דיון והכרעה </w:t>
      </w:r>
    </w:p>
    <w:p w14:paraId="0DCC37C4" w14:textId="77777777" w:rsidR="009A6074" w:rsidRDefault="00000000" w:rsidP="007F2201">
      <w:pPr>
        <w:pStyle w:val="11"/>
        <w:numPr>
          <w:ilvl w:val="0"/>
          <w:numId w:val="1"/>
        </w:numPr>
        <w:spacing w:line="360" w:lineRule="auto"/>
        <w:jc w:val="both"/>
        <w:rPr>
          <w:rFonts w:ascii="David" w:hAnsi="David" w:cs="David"/>
          <w:sz w:val="24"/>
          <w:szCs w:val="24"/>
          <w:rtl/>
        </w:rPr>
      </w:pPr>
      <w:r>
        <w:rPr>
          <w:rFonts w:ascii="David" w:hAnsi="David" w:cs="David"/>
          <w:sz w:val="24"/>
          <w:szCs w:val="24"/>
          <w:rtl/>
        </w:rPr>
        <w:t>דרך הילוכנו תהיה כדלקמן</w:t>
      </w:r>
      <w:r w:rsidRPr="00B26CE3">
        <w:rPr>
          <w:rFonts w:ascii="David" w:hAnsi="David" w:cs="David"/>
          <w:sz w:val="24"/>
          <w:szCs w:val="24"/>
          <w:rtl/>
        </w:rPr>
        <w:t>: תחילה נפרט את המסגרת הנורמטיבית הרלבנטית לעניין. לאחר מכן, נבחן האם העוררים עומדים</w:t>
      </w:r>
      <w:r>
        <w:rPr>
          <w:rFonts w:ascii="David" w:hAnsi="David" w:cs="David"/>
          <w:sz w:val="24"/>
          <w:szCs w:val="24"/>
          <w:rtl/>
        </w:rPr>
        <w:t xml:space="preserve"> בתנאי החוק על מנת לקבל הקלה במס רכישה ברכישת הדירה נשואת הערר. לבסוף, נדון בטענות נוספות לגביהן נחלקו הצדדים ובפרט בטענות העוררים לגבי התנהלות המשיב.</w:t>
      </w:r>
    </w:p>
    <w:p w14:paraId="6E840AC1" w14:textId="77777777" w:rsidR="009A6074" w:rsidRDefault="00000000" w:rsidP="007F2201">
      <w:pPr>
        <w:spacing w:line="360" w:lineRule="auto"/>
        <w:jc w:val="both"/>
        <w:rPr>
          <w:rFonts w:ascii="David" w:hAnsi="David"/>
          <w:noProof w:val="0"/>
          <w:u w:val="single"/>
          <w:rtl/>
        </w:rPr>
      </w:pPr>
      <w:r>
        <w:rPr>
          <w:rFonts w:ascii="David" w:hAnsi="David"/>
          <w:noProof w:val="0"/>
          <w:u w:val="single"/>
          <w:rtl/>
        </w:rPr>
        <w:t>תשתית נורמטיבית</w:t>
      </w:r>
    </w:p>
    <w:p w14:paraId="5A9D82ED" w14:textId="77777777" w:rsidR="009A6074" w:rsidRDefault="00000000" w:rsidP="008928DA">
      <w:pPr>
        <w:pStyle w:val="11"/>
        <w:numPr>
          <w:ilvl w:val="0"/>
          <w:numId w:val="1"/>
        </w:numPr>
        <w:spacing w:line="360" w:lineRule="auto"/>
        <w:jc w:val="both"/>
        <w:rPr>
          <w:rFonts w:ascii="David" w:hAnsi="David" w:cs="David"/>
          <w:noProof/>
          <w:sz w:val="24"/>
          <w:szCs w:val="24"/>
          <w:rtl/>
        </w:rPr>
      </w:pPr>
      <w:r>
        <w:rPr>
          <w:rFonts w:ascii="David" w:hAnsi="David" w:cs="David"/>
          <w:sz w:val="24"/>
          <w:szCs w:val="24"/>
          <w:rtl/>
        </w:rPr>
        <w:t xml:space="preserve">תחילה נפרט את הוראות החוק המתייחסות להקלה בתשלום מס רכישה בגין רכישת דירת מגורים. נזכור תחילה כי </w:t>
      </w:r>
      <w:hyperlink r:id="rId18" w:history="1">
        <w:r w:rsidR="00E32C0E" w:rsidRPr="00E32C0E">
          <w:rPr>
            <w:rStyle w:val="Hyperlink"/>
            <w:rFonts w:ascii="David" w:hAnsi="David" w:cs="David"/>
            <w:sz w:val="24"/>
            <w:szCs w:val="24"/>
            <w:rtl/>
          </w:rPr>
          <w:t>סעיף 9(א)</w:t>
        </w:r>
      </w:hyperlink>
      <w:r w:rsidR="007E07D4">
        <w:rPr>
          <w:rFonts w:ascii="David" w:hAnsi="David" w:cs="David"/>
          <w:sz w:val="24"/>
          <w:szCs w:val="24"/>
          <w:rtl/>
        </w:rPr>
        <w:t xml:space="preserve"> </w:t>
      </w:r>
      <w:r>
        <w:rPr>
          <w:rFonts w:ascii="David" w:hAnsi="David" w:cs="David"/>
          <w:sz w:val="24"/>
          <w:szCs w:val="24"/>
          <w:rtl/>
        </w:rPr>
        <w:t>לחוק קובע כי "</w:t>
      </w:r>
      <w:r>
        <w:rPr>
          <w:rFonts w:ascii="David" w:hAnsi="David" w:cs="David"/>
          <w:b/>
          <w:bCs/>
          <w:sz w:val="24"/>
          <w:szCs w:val="24"/>
          <w:rtl/>
        </w:rPr>
        <w:t>במכירת זכות במקרקעין יהא הרוכש חייב במס רכישת מקרקעין</w:t>
      </w:r>
      <w:r>
        <w:rPr>
          <w:rFonts w:ascii="David" w:hAnsi="David" w:cs="David"/>
          <w:sz w:val="24"/>
          <w:szCs w:val="24"/>
          <w:rtl/>
        </w:rPr>
        <w:t>"</w:t>
      </w:r>
      <w:r>
        <w:rPr>
          <w:rFonts w:ascii="David" w:hAnsi="David" w:cs="David"/>
          <w:noProof/>
          <w:sz w:val="24"/>
          <w:szCs w:val="24"/>
          <w:rtl/>
        </w:rPr>
        <w:t xml:space="preserve">. </w:t>
      </w:r>
    </w:p>
    <w:p w14:paraId="67B49ED4" w14:textId="77777777" w:rsidR="009A6074" w:rsidRDefault="009A6074" w:rsidP="007F2201">
      <w:pPr>
        <w:pStyle w:val="11"/>
        <w:spacing w:line="360" w:lineRule="auto"/>
        <w:jc w:val="both"/>
        <w:rPr>
          <w:rFonts w:ascii="David" w:hAnsi="David" w:cs="David"/>
          <w:noProof/>
          <w:sz w:val="24"/>
          <w:szCs w:val="24"/>
        </w:rPr>
      </w:pPr>
    </w:p>
    <w:p w14:paraId="173E17F7" w14:textId="77777777" w:rsidR="009A6074" w:rsidRDefault="00000000" w:rsidP="007F2201">
      <w:pPr>
        <w:pStyle w:val="11"/>
        <w:numPr>
          <w:ilvl w:val="0"/>
          <w:numId w:val="1"/>
        </w:numPr>
        <w:spacing w:line="360" w:lineRule="auto"/>
        <w:jc w:val="both"/>
        <w:rPr>
          <w:rFonts w:ascii="David" w:hAnsi="David" w:cs="David"/>
          <w:noProof/>
          <w:sz w:val="24"/>
          <w:szCs w:val="24"/>
          <w:u w:val="single"/>
        </w:rPr>
      </w:pPr>
      <w:r>
        <w:rPr>
          <w:rFonts w:ascii="David" w:hAnsi="David" w:cs="David"/>
          <w:noProof/>
          <w:sz w:val="24"/>
          <w:szCs w:val="24"/>
          <w:rtl/>
        </w:rPr>
        <w:t>למן תיקון מספר 69 ל</w:t>
      </w:r>
      <w:hyperlink r:id="rId19" w:history="1">
        <w:r w:rsidR="00E32C0E" w:rsidRPr="00E32C0E">
          <w:rPr>
            <w:rStyle w:val="Hyperlink"/>
            <w:rFonts w:ascii="David" w:hAnsi="David" w:cs="David"/>
            <w:noProof/>
            <w:sz w:val="24"/>
            <w:szCs w:val="24"/>
            <w:rtl/>
          </w:rPr>
          <w:t>חוק מיסוי מקרקעין</w:t>
        </w:r>
      </w:hyperlink>
      <w:r>
        <w:rPr>
          <w:rFonts w:ascii="David" w:hAnsi="David" w:cs="David"/>
          <w:noProof/>
          <w:sz w:val="24"/>
          <w:szCs w:val="24"/>
          <w:rtl/>
        </w:rPr>
        <w:t xml:space="preserve"> בשנת 2011, הגדרת קבוצת רוכשי זכות במקרקעין כ"קבוצת רכישה", בהתאם לחוק, מביאה עמה השלכות מיסוי שונות, הן מכוח חוק מיסוי מקרקעין והן לפי </w:t>
      </w:r>
      <w:hyperlink r:id="rId20" w:history="1">
        <w:r w:rsidR="00E32C0E" w:rsidRPr="00E32C0E">
          <w:rPr>
            <w:rStyle w:val="Hyperlink"/>
            <w:rFonts w:ascii="David" w:hAnsi="David" w:cs="David"/>
            <w:noProof/>
            <w:sz w:val="24"/>
            <w:szCs w:val="24"/>
            <w:rtl/>
          </w:rPr>
          <w:t>חוק מס ערך מוסף</w:t>
        </w:r>
      </w:hyperlink>
      <w:r>
        <w:rPr>
          <w:rFonts w:ascii="David" w:hAnsi="David" w:cs="David"/>
          <w:noProof/>
          <w:sz w:val="24"/>
          <w:szCs w:val="24"/>
          <w:rtl/>
        </w:rPr>
        <w:t>, התשל"ו-1975. יובאו להלן ההשלכות הרלוונטיות לערר זה.</w:t>
      </w:r>
    </w:p>
    <w:p w14:paraId="442A1641" w14:textId="77777777" w:rsidR="009A6074" w:rsidRDefault="009A6074" w:rsidP="007F2201">
      <w:pPr>
        <w:pStyle w:val="11"/>
        <w:rPr>
          <w:rFonts w:ascii="David" w:hAnsi="David" w:cs="David"/>
          <w:noProof/>
          <w:sz w:val="24"/>
          <w:szCs w:val="24"/>
          <w:u w:val="single"/>
        </w:rPr>
      </w:pPr>
    </w:p>
    <w:p w14:paraId="1DA485F2" w14:textId="77777777" w:rsidR="009A6074" w:rsidRDefault="00E32C0E" w:rsidP="007F2201">
      <w:pPr>
        <w:pStyle w:val="11"/>
        <w:numPr>
          <w:ilvl w:val="0"/>
          <w:numId w:val="1"/>
        </w:numPr>
        <w:spacing w:line="360" w:lineRule="auto"/>
        <w:jc w:val="both"/>
        <w:rPr>
          <w:rFonts w:ascii="David" w:hAnsi="David" w:cs="David"/>
          <w:noProof/>
          <w:sz w:val="24"/>
          <w:szCs w:val="24"/>
          <w:u w:val="single"/>
          <w:rtl/>
        </w:rPr>
      </w:pPr>
      <w:hyperlink r:id="rId21" w:history="1">
        <w:r w:rsidRPr="00E32C0E">
          <w:rPr>
            <w:rStyle w:val="Hyperlink"/>
            <w:rFonts w:ascii="David" w:hAnsi="David" w:cs="David"/>
            <w:noProof/>
            <w:sz w:val="24"/>
            <w:szCs w:val="24"/>
            <w:rtl/>
          </w:rPr>
          <w:t>סעיף 9(ג1ג)(2)</w:t>
        </w:r>
      </w:hyperlink>
      <w:r w:rsidR="00000000">
        <w:rPr>
          <w:rFonts w:ascii="David" w:hAnsi="David" w:cs="David"/>
          <w:noProof/>
          <w:sz w:val="24"/>
          <w:szCs w:val="24"/>
          <w:rtl/>
        </w:rPr>
        <w:t xml:space="preserve"> לחוק מפרט רשימת חלופות בהן תינתן הקלה במס בעת רכישת דירת מגורים: </w:t>
      </w:r>
    </w:p>
    <w:p w14:paraId="4BB34F95" w14:textId="77777777" w:rsidR="009A6074" w:rsidRDefault="009A6074" w:rsidP="007F2201">
      <w:pPr>
        <w:pStyle w:val="11"/>
        <w:rPr>
          <w:rFonts w:ascii="David" w:hAnsi="David" w:cs="David"/>
          <w:noProof/>
          <w:sz w:val="24"/>
          <w:szCs w:val="24"/>
          <w:u w:val="single"/>
        </w:rPr>
      </w:pPr>
    </w:p>
    <w:p w14:paraId="3900E996" w14:textId="77777777" w:rsidR="009A6074" w:rsidRDefault="007E07D4" w:rsidP="007F2201">
      <w:pPr>
        <w:pStyle w:val="p00"/>
        <w:bidi/>
        <w:spacing w:before="0" w:beforeAutospacing="0" w:after="0" w:afterAutospacing="0" w:line="360" w:lineRule="auto"/>
        <w:ind w:left="1417"/>
        <w:jc w:val="both"/>
        <w:rPr>
          <w:rFonts w:ascii="David" w:hAnsi="David" w:cs="David"/>
          <w:b/>
          <w:bCs/>
          <w:sz w:val="18"/>
          <w:szCs w:val="18"/>
          <w:rtl/>
        </w:rPr>
      </w:pPr>
      <w:r>
        <w:rPr>
          <w:rStyle w:val="default"/>
          <w:rFonts w:ascii="FrankRuehl" w:hAnsi="FrankRuehl" w:cs="FrankRuehl"/>
          <w:color w:val="000000"/>
          <w:sz w:val="26"/>
          <w:szCs w:val="26"/>
          <w:rtl/>
        </w:rPr>
        <w:t xml:space="preserve"> </w:t>
      </w:r>
      <w:r w:rsidR="00000000">
        <w:rPr>
          <w:rStyle w:val="default"/>
          <w:rFonts w:ascii="FrankRuehl" w:hAnsi="FrankRuehl" w:cs="FrankRuehl"/>
          <w:color w:val="000000"/>
          <w:sz w:val="26"/>
          <w:szCs w:val="26"/>
          <w:rtl/>
        </w:rPr>
        <w:t>"</w:t>
      </w:r>
      <w:r w:rsidR="00000000">
        <w:rPr>
          <w:rStyle w:val="default"/>
          <w:rFonts w:ascii="David" w:hAnsi="David" w:cs="David"/>
          <w:b/>
          <w:bCs/>
          <w:rtl/>
        </w:rPr>
        <w:t>על אף הוראות פסקה (1), יחיד תושב ישראל שרכש דירת מגורים ביום כ"ה באב התשע"ג (1 באוגוסט 2013) או לאחריו (בפסקה משנה זו – הדירה), והתקיים בו אחד מאלה:</w:t>
      </w:r>
    </w:p>
    <w:p w14:paraId="730DECE4" w14:textId="77777777" w:rsidR="009A6074" w:rsidRDefault="00000000" w:rsidP="007F2201">
      <w:pPr>
        <w:pStyle w:val="p00"/>
        <w:bidi/>
        <w:spacing w:before="0" w:beforeAutospacing="0" w:after="0" w:afterAutospacing="0" w:line="360" w:lineRule="auto"/>
        <w:ind w:left="1417"/>
        <w:jc w:val="both"/>
        <w:rPr>
          <w:rFonts w:ascii="David" w:hAnsi="David" w:cs="David"/>
          <w:b/>
          <w:bCs/>
          <w:sz w:val="18"/>
          <w:szCs w:val="18"/>
        </w:rPr>
      </w:pPr>
      <w:r>
        <w:rPr>
          <w:rStyle w:val="default"/>
          <w:rFonts w:ascii="David" w:hAnsi="David" w:cs="David"/>
          <w:b/>
          <w:bCs/>
          <w:rtl/>
        </w:rPr>
        <w:t>(א)</w:t>
      </w:r>
      <w:r w:rsidR="007E07D4">
        <w:rPr>
          <w:rStyle w:val="default"/>
          <w:rFonts w:ascii="David" w:hAnsi="David" w:cs="David"/>
          <w:b/>
          <w:bCs/>
          <w:rtl/>
        </w:rPr>
        <w:t xml:space="preserve">  </w:t>
      </w:r>
      <w:r>
        <w:rPr>
          <w:rStyle w:val="default"/>
          <w:rFonts w:ascii="David" w:hAnsi="David" w:cs="David"/>
          <w:b/>
          <w:bCs/>
          <w:rtl/>
        </w:rPr>
        <w:t xml:space="preserve"> הדירה שרכש היא דירתו היחידה;</w:t>
      </w:r>
    </w:p>
    <w:p w14:paraId="7845D904" w14:textId="77777777" w:rsidR="009A6074" w:rsidRDefault="00000000" w:rsidP="007F2201">
      <w:pPr>
        <w:pStyle w:val="p00"/>
        <w:bidi/>
        <w:spacing w:before="0" w:beforeAutospacing="0" w:after="0" w:afterAutospacing="0" w:line="360" w:lineRule="auto"/>
        <w:ind w:left="1417"/>
        <w:jc w:val="both"/>
        <w:rPr>
          <w:color w:val="000000"/>
          <w:sz w:val="20"/>
          <w:szCs w:val="20"/>
          <w:rtl/>
        </w:rPr>
      </w:pPr>
      <w:r>
        <w:rPr>
          <w:rStyle w:val="default"/>
          <w:rFonts w:ascii="David" w:hAnsi="David" w:cs="David"/>
          <w:b/>
          <w:bCs/>
          <w:rtl/>
        </w:rPr>
        <w:t>(ב)</w:t>
      </w:r>
      <w:r w:rsidR="007E07D4">
        <w:rPr>
          <w:rStyle w:val="default"/>
          <w:rFonts w:ascii="David" w:hAnsi="David" w:cs="David"/>
          <w:b/>
          <w:bCs/>
          <w:rtl/>
        </w:rPr>
        <w:t xml:space="preserve">  </w:t>
      </w:r>
      <w:r>
        <w:rPr>
          <w:rStyle w:val="default"/>
          <w:rFonts w:ascii="David" w:hAnsi="David" w:cs="David"/>
          <w:b/>
          <w:bCs/>
          <w:rtl/>
        </w:rPr>
        <w:t xml:space="preserve"> </w:t>
      </w:r>
      <w:r w:rsidRPr="00C716DD">
        <w:rPr>
          <w:rStyle w:val="default"/>
          <w:rFonts w:ascii="David" w:hAnsi="David" w:cs="David"/>
          <w:b/>
          <w:bCs/>
          <w:rtl/>
        </w:rPr>
        <w:t>ב-24 החודשים</w:t>
      </w:r>
      <w:r>
        <w:rPr>
          <w:rStyle w:val="default"/>
          <w:rFonts w:ascii="David" w:hAnsi="David" w:cs="David"/>
          <w:b/>
          <w:bCs/>
          <w:rtl/>
        </w:rPr>
        <w:t xml:space="preserve"> שלאחר רכישת הדירה, מכר דירת מגורים אחרת שהיתה דירתו היחידה עד למועד רכישת הדירה; ואולם אם רכישת הדירה היתה מקבלן – ב-12 החודשים מהמועד שבו היתה החזקה בדירה שרכש אמורה להימסר לידיו על פי ההסכם עם הקבלן, מכר דירת מגורים אחרת שהיתה דירתו היחידה עד למועד רכישת הדירה, ואם חל עיכוב במסירת החזקה בשל נסיבות שאינן בשליטתו של הרוכש – ב-12 החודשים מהמועד שבו נמסרה לידיו החזקה בדירה בפועל, מכר את דירת המגורים שהיתה דירתו היחידה עד למועד רכישת הדירה;</w:t>
      </w:r>
      <w:r>
        <w:rPr>
          <w:color w:val="000000"/>
          <w:sz w:val="20"/>
          <w:szCs w:val="20"/>
          <w:rtl/>
        </w:rPr>
        <w:t>"</w:t>
      </w:r>
    </w:p>
    <w:p w14:paraId="2AA367C3" w14:textId="77777777" w:rsidR="009A6074" w:rsidRDefault="009A6074" w:rsidP="007F2201">
      <w:pPr>
        <w:spacing w:line="360" w:lineRule="auto"/>
        <w:jc w:val="both"/>
        <w:rPr>
          <w:rFonts w:ascii="David" w:hAnsi="David"/>
          <w:noProof w:val="0"/>
          <w:rtl/>
        </w:rPr>
      </w:pPr>
    </w:p>
    <w:p w14:paraId="59D080AD" w14:textId="77777777" w:rsidR="009A6074" w:rsidRDefault="00000000" w:rsidP="007F2201">
      <w:pPr>
        <w:pStyle w:val="11"/>
        <w:numPr>
          <w:ilvl w:val="0"/>
          <w:numId w:val="1"/>
        </w:numPr>
        <w:spacing w:line="360" w:lineRule="auto"/>
        <w:jc w:val="both"/>
        <w:rPr>
          <w:rFonts w:ascii="David" w:hAnsi="David" w:cs="David"/>
          <w:sz w:val="24"/>
          <w:szCs w:val="24"/>
          <w:rtl/>
        </w:rPr>
      </w:pPr>
      <w:r>
        <w:rPr>
          <w:rFonts w:ascii="David" w:hAnsi="David" w:cs="David"/>
          <w:sz w:val="24"/>
          <w:szCs w:val="24"/>
          <w:rtl/>
        </w:rPr>
        <w:t>לפי הסעיף, החלופות לקבלת הקלה במס רכישה הן:</w:t>
      </w:r>
    </w:p>
    <w:p w14:paraId="2EE548B6" w14:textId="77777777" w:rsidR="009A6074" w:rsidRDefault="00000000" w:rsidP="007F2201">
      <w:pPr>
        <w:pStyle w:val="11"/>
        <w:numPr>
          <w:ilvl w:val="0"/>
          <w:numId w:val="2"/>
        </w:numPr>
        <w:spacing w:line="360" w:lineRule="auto"/>
        <w:jc w:val="both"/>
        <w:rPr>
          <w:rFonts w:ascii="David" w:hAnsi="David" w:cs="David"/>
          <w:sz w:val="24"/>
          <w:szCs w:val="24"/>
          <w:rtl/>
        </w:rPr>
      </w:pPr>
      <w:r>
        <w:rPr>
          <w:rFonts w:ascii="David" w:hAnsi="David" w:cs="David"/>
          <w:sz w:val="24"/>
          <w:szCs w:val="24"/>
          <w:rtl/>
        </w:rPr>
        <w:t>כאשר הדירה שנרכשה היא הדירה היחידה של הרוכש.</w:t>
      </w:r>
    </w:p>
    <w:p w14:paraId="2D233C1E" w14:textId="77777777" w:rsidR="009A6074" w:rsidRDefault="00000000" w:rsidP="007F2201">
      <w:pPr>
        <w:pStyle w:val="11"/>
        <w:numPr>
          <w:ilvl w:val="0"/>
          <w:numId w:val="2"/>
        </w:numPr>
        <w:spacing w:line="360" w:lineRule="auto"/>
        <w:jc w:val="both"/>
        <w:rPr>
          <w:rFonts w:ascii="David" w:hAnsi="David" w:cs="David"/>
          <w:sz w:val="24"/>
          <w:szCs w:val="24"/>
        </w:rPr>
      </w:pPr>
      <w:r>
        <w:rPr>
          <w:rFonts w:ascii="David" w:hAnsi="David" w:cs="David"/>
          <w:sz w:val="24"/>
          <w:szCs w:val="24"/>
          <w:rtl/>
        </w:rPr>
        <w:t>כאשר בנוסף לדירה שנרכשה, לרוכש יש דירת מגורים אחרת שקדמה לרכישה זו, והדירה הקודמת הייתה דירתו היחידה של הרוכש עד למועד רכישת הדירה החדשה, והיא נמכרה תוך 24 חודשים לאחר רכישת הדירה החדשה- כך שנותר הרוכש עם הדירה החדשה.</w:t>
      </w:r>
    </w:p>
    <w:p w14:paraId="3BC6281C" w14:textId="77777777" w:rsidR="009A6074" w:rsidRDefault="00000000" w:rsidP="007F2201">
      <w:pPr>
        <w:pStyle w:val="11"/>
        <w:numPr>
          <w:ilvl w:val="0"/>
          <w:numId w:val="2"/>
        </w:numPr>
        <w:spacing w:line="360" w:lineRule="auto"/>
        <w:jc w:val="both"/>
        <w:rPr>
          <w:rFonts w:ascii="David" w:hAnsi="David" w:cs="David"/>
          <w:sz w:val="24"/>
          <w:szCs w:val="24"/>
        </w:rPr>
      </w:pPr>
      <w:r>
        <w:rPr>
          <w:rFonts w:ascii="David" w:hAnsi="David" w:cs="David"/>
          <w:sz w:val="24"/>
          <w:szCs w:val="24"/>
          <w:rtl/>
        </w:rPr>
        <w:t>כאשר הרוכש רוכש דירה חדשה מקבלן, ויש לו דירה אחרת שקדמה לרכישה זו, שנמכרה תוך 12 חודשים ממועד המסירה הקבוע בהסכם המכר עם הקבלן. אם חל עיכוב במסירה מהקבלן, מנסיבות שאינן בשליטת הרוכש, מניין 12 החודשים יחול ממועד המסירה בפועל.</w:t>
      </w:r>
    </w:p>
    <w:p w14:paraId="3BFD9283" w14:textId="77777777" w:rsidR="009A6074" w:rsidRPr="007749EE" w:rsidRDefault="009A6074" w:rsidP="007F2201">
      <w:pPr>
        <w:pStyle w:val="11"/>
        <w:spacing w:line="360" w:lineRule="auto"/>
        <w:ind w:left="1440"/>
        <w:jc w:val="both"/>
        <w:rPr>
          <w:rFonts w:ascii="David" w:hAnsi="David" w:cs="David"/>
          <w:sz w:val="24"/>
          <w:szCs w:val="24"/>
        </w:rPr>
      </w:pPr>
    </w:p>
    <w:p w14:paraId="09EA8B5A" w14:textId="77777777" w:rsidR="009A6074" w:rsidRPr="001D6195" w:rsidRDefault="00000000" w:rsidP="008928DA">
      <w:pPr>
        <w:pStyle w:val="11"/>
        <w:numPr>
          <w:ilvl w:val="0"/>
          <w:numId w:val="1"/>
        </w:numPr>
        <w:spacing w:line="360" w:lineRule="auto"/>
        <w:jc w:val="both"/>
        <w:rPr>
          <w:rFonts w:ascii="David" w:hAnsi="David" w:cs="David"/>
          <w:sz w:val="28"/>
          <w:szCs w:val="28"/>
        </w:rPr>
      </w:pPr>
      <w:r>
        <w:rPr>
          <w:rFonts w:ascii="David" w:hAnsi="David" w:cs="David"/>
          <w:sz w:val="24"/>
          <w:szCs w:val="24"/>
          <w:rtl/>
        </w:rPr>
        <w:t>יצוין כי בתיקון מספר 102 ל</w:t>
      </w:r>
      <w:hyperlink r:id="rId22" w:history="1">
        <w:r w:rsidR="00E32C0E" w:rsidRPr="00E32C0E">
          <w:rPr>
            <w:rStyle w:val="Hyperlink"/>
            <w:rFonts w:ascii="David" w:hAnsi="David" w:cs="David"/>
            <w:sz w:val="24"/>
            <w:szCs w:val="24"/>
            <w:rtl/>
          </w:rPr>
          <w:t>חוק מיסוי מקרקעין</w:t>
        </w:r>
      </w:hyperlink>
      <w:r>
        <w:rPr>
          <w:rFonts w:ascii="David" w:hAnsi="David" w:cs="David"/>
          <w:sz w:val="24"/>
          <w:szCs w:val="24"/>
          <w:rtl/>
        </w:rPr>
        <w:t xml:space="preserve"> בשנת 2023, תוקן </w:t>
      </w:r>
      <w:hyperlink r:id="rId23" w:history="1">
        <w:r w:rsidR="00E32C0E" w:rsidRPr="00E32C0E">
          <w:rPr>
            <w:rStyle w:val="Hyperlink"/>
            <w:rFonts w:ascii="David" w:hAnsi="David" w:cs="David"/>
            <w:noProof/>
            <w:sz w:val="24"/>
            <w:szCs w:val="24"/>
            <w:rtl/>
          </w:rPr>
          <w:t>סעיף 9(ג1ג)(2)</w:t>
        </w:r>
      </w:hyperlink>
      <w:r>
        <w:rPr>
          <w:rFonts w:ascii="David" w:hAnsi="David" w:cs="David"/>
          <w:noProof/>
          <w:sz w:val="24"/>
          <w:szCs w:val="24"/>
          <w:rtl/>
        </w:rPr>
        <w:t xml:space="preserve"> </w:t>
      </w:r>
      <w:r>
        <w:rPr>
          <w:rFonts w:ascii="David" w:hAnsi="David" w:cs="David"/>
          <w:sz w:val="24"/>
          <w:szCs w:val="24"/>
          <w:rtl/>
        </w:rPr>
        <w:t xml:space="preserve">וקוצרה התקופה שבה ניתן להחזיק בשתי </w:t>
      </w:r>
      <w:r w:rsidRPr="001D6195">
        <w:rPr>
          <w:rFonts w:ascii="David" w:hAnsi="David" w:cs="David"/>
          <w:sz w:val="24"/>
          <w:szCs w:val="24"/>
          <w:rtl/>
        </w:rPr>
        <w:t xml:space="preserve">דירות במקביל ועדיין להיחשב כבעלים של דירת מגורים יחידה מ-24 חודשים ל-18 חודשים. </w:t>
      </w:r>
      <w:r w:rsidRPr="001D6195">
        <w:rPr>
          <w:rFonts w:ascii="David" w:hAnsi="David" w:cs="David"/>
          <w:sz w:val="24"/>
          <w:szCs w:val="24"/>
          <w:shd w:val="clear" w:color="auto" w:fill="FFFFFF"/>
          <w:rtl/>
        </w:rPr>
        <w:t xml:space="preserve">כאשר חל שינוי בדין המהותי </w:t>
      </w:r>
      <w:r w:rsidRPr="007749EE">
        <w:rPr>
          <w:rFonts w:ascii="David" w:hAnsi="David" w:cs="David"/>
          <w:sz w:val="24"/>
          <w:szCs w:val="24"/>
          <w:shd w:val="clear" w:color="auto" w:fill="FFFFFF"/>
          <w:rtl/>
        </w:rPr>
        <w:t>לאחר הגשת הערר</w:t>
      </w:r>
      <w:r w:rsidRPr="001D6195">
        <w:rPr>
          <w:rFonts w:ascii="David" w:hAnsi="David" w:cs="David"/>
          <w:sz w:val="24"/>
          <w:szCs w:val="24"/>
          <w:shd w:val="clear" w:color="auto" w:fill="FFFFFF"/>
          <w:rtl/>
        </w:rPr>
        <w:t>, יש להחיל על העוררים את הדין שהיה תקף במועד ה</w:t>
      </w:r>
      <w:r>
        <w:rPr>
          <w:rFonts w:ascii="David" w:hAnsi="David" w:cs="David"/>
          <w:sz w:val="24"/>
          <w:szCs w:val="24"/>
          <w:shd w:val="clear" w:color="auto" w:fill="FFFFFF"/>
          <w:rtl/>
        </w:rPr>
        <w:t>מכירה</w:t>
      </w:r>
      <w:r w:rsidRPr="001D6195">
        <w:rPr>
          <w:rFonts w:ascii="David" w:hAnsi="David" w:cs="David"/>
          <w:sz w:val="24"/>
          <w:szCs w:val="24"/>
          <w:shd w:val="clear" w:color="auto" w:fill="FFFFFF"/>
          <w:rtl/>
        </w:rPr>
        <w:t>. עיקרון זה נובע מהבחנה בין דינים דיוניים- פרוצדורליים, החלים באופן מיידי על הליכים תלויים ועומדים, לבין דינים מהותיים, אשר אינם פועלים למפרע ופגיעתם בזכויות מוקנות מוגבלת</w:t>
      </w:r>
      <w:r>
        <w:rPr>
          <w:rFonts w:ascii="David" w:hAnsi="David" w:cs="David"/>
          <w:sz w:val="24"/>
          <w:szCs w:val="24"/>
          <w:shd w:val="clear" w:color="auto" w:fill="FFFFFF"/>
          <w:rtl/>
        </w:rPr>
        <w:t xml:space="preserve"> (</w:t>
      </w:r>
      <w:hyperlink r:id="rId24" w:history="1">
        <w:r w:rsidR="00E32C0E" w:rsidRPr="00E32C0E">
          <w:rPr>
            <w:rStyle w:val="Hyperlink"/>
            <w:rFonts w:ascii="David" w:hAnsi="David" w:cs="David"/>
            <w:sz w:val="24"/>
            <w:szCs w:val="24"/>
            <w:shd w:val="clear" w:color="auto" w:fill="FFFFFF"/>
            <w:rtl/>
          </w:rPr>
          <w:t>ע"א 189/66</w:t>
        </w:r>
      </w:hyperlink>
      <w:r>
        <w:rPr>
          <w:rFonts w:ascii="David" w:hAnsi="David" w:cs="David"/>
          <w:sz w:val="24"/>
          <w:szCs w:val="24"/>
          <w:shd w:val="clear" w:color="auto" w:fill="FFFFFF"/>
          <w:rtl/>
        </w:rPr>
        <w:t xml:space="preserve"> </w:t>
      </w:r>
      <w:r w:rsidRPr="003277DC">
        <w:rPr>
          <w:rFonts w:ascii="David" w:hAnsi="David" w:cs="David"/>
          <w:b/>
          <w:bCs/>
          <w:sz w:val="24"/>
          <w:szCs w:val="24"/>
          <w:shd w:val="clear" w:color="auto" w:fill="FFFFFF"/>
          <w:rtl/>
        </w:rPr>
        <w:t>רייך</w:t>
      </w:r>
      <w:r>
        <w:rPr>
          <w:rFonts w:ascii="David" w:hAnsi="David" w:cs="David"/>
          <w:sz w:val="24"/>
          <w:szCs w:val="24"/>
          <w:shd w:val="clear" w:color="auto" w:fill="FFFFFF"/>
          <w:rtl/>
        </w:rPr>
        <w:t xml:space="preserve"> נ' </w:t>
      </w:r>
      <w:r w:rsidRPr="003277DC">
        <w:rPr>
          <w:rFonts w:ascii="David" w:hAnsi="David" w:cs="David"/>
          <w:b/>
          <w:bCs/>
          <w:sz w:val="24"/>
          <w:szCs w:val="24"/>
          <w:shd w:val="clear" w:color="auto" w:fill="FFFFFF"/>
          <w:rtl/>
        </w:rPr>
        <w:t>המר</w:t>
      </w:r>
      <w:r>
        <w:rPr>
          <w:rFonts w:ascii="David" w:hAnsi="David" w:cs="David"/>
          <w:sz w:val="24"/>
          <w:szCs w:val="24"/>
          <w:shd w:val="clear" w:color="auto" w:fill="FFFFFF"/>
          <w:rtl/>
        </w:rPr>
        <w:t xml:space="preserve">, פ"ד כא(2) 185; </w:t>
      </w:r>
      <w:hyperlink r:id="rId25" w:history="1">
        <w:r w:rsidR="00E32C0E" w:rsidRPr="00E32C0E">
          <w:rPr>
            <w:rStyle w:val="Hyperlink"/>
            <w:rFonts w:ascii="David" w:hAnsi="David" w:cs="David"/>
            <w:sz w:val="24"/>
            <w:szCs w:val="24"/>
            <w:shd w:val="clear" w:color="auto" w:fill="FFFFFF"/>
            <w:rtl/>
          </w:rPr>
          <w:t>בג"ץ 4562/92</w:t>
        </w:r>
      </w:hyperlink>
      <w:r>
        <w:rPr>
          <w:rFonts w:ascii="David" w:hAnsi="David" w:cs="David"/>
          <w:sz w:val="24"/>
          <w:szCs w:val="24"/>
          <w:shd w:val="clear" w:color="auto" w:fill="FFFFFF"/>
          <w:rtl/>
        </w:rPr>
        <w:t xml:space="preserve"> </w:t>
      </w:r>
      <w:r w:rsidRPr="003277DC">
        <w:rPr>
          <w:rFonts w:ascii="David" w:hAnsi="David" w:cs="David"/>
          <w:b/>
          <w:bCs/>
          <w:sz w:val="24"/>
          <w:szCs w:val="24"/>
          <w:shd w:val="clear" w:color="auto" w:fill="FFFFFF"/>
          <w:rtl/>
        </w:rPr>
        <w:t>זליגמן</w:t>
      </w:r>
      <w:r>
        <w:rPr>
          <w:rFonts w:ascii="David" w:hAnsi="David" w:cs="David"/>
          <w:sz w:val="24"/>
          <w:szCs w:val="24"/>
          <w:shd w:val="clear" w:color="auto" w:fill="FFFFFF"/>
          <w:rtl/>
        </w:rPr>
        <w:t xml:space="preserve"> נ' </w:t>
      </w:r>
      <w:r w:rsidRPr="003277DC">
        <w:rPr>
          <w:rFonts w:ascii="David" w:hAnsi="David" w:cs="David"/>
          <w:b/>
          <w:bCs/>
          <w:sz w:val="24"/>
          <w:szCs w:val="24"/>
          <w:shd w:val="clear" w:color="auto" w:fill="FFFFFF"/>
          <w:rtl/>
        </w:rPr>
        <w:t>בית הדין הארצי לעבודה</w:t>
      </w:r>
      <w:r>
        <w:rPr>
          <w:rFonts w:ascii="David" w:hAnsi="David" w:cs="David"/>
          <w:sz w:val="24"/>
          <w:szCs w:val="24"/>
          <w:shd w:val="clear" w:color="auto" w:fill="FFFFFF"/>
          <w:rtl/>
        </w:rPr>
        <w:t>, פ"ד מז(5) 661).</w:t>
      </w:r>
      <w:r w:rsidRPr="001D6195">
        <w:rPr>
          <w:rFonts w:ascii="David" w:hAnsi="David" w:cs="David"/>
          <w:sz w:val="24"/>
          <w:szCs w:val="24"/>
          <w:shd w:val="clear" w:color="auto" w:fill="FFFFFF"/>
          <w:rtl/>
        </w:rPr>
        <w:t xml:space="preserve"> לפיכך, כאשר השינוי נוגע לדין מהותי הקובע את זכויותיהם או חובותיהם של הצדדים, יישמר הדין הישן שהיה בתוקף במועד </w:t>
      </w:r>
      <w:r>
        <w:rPr>
          <w:rFonts w:ascii="David" w:hAnsi="David" w:cs="David"/>
          <w:sz w:val="24"/>
          <w:szCs w:val="24"/>
          <w:shd w:val="clear" w:color="auto" w:fill="FFFFFF"/>
          <w:rtl/>
        </w:rPr>
        <w:t>העסקה</w:t>
      </w:r>
      <w:r w:rsidRPr="001D6195">
        <w:rPr>
          <w:rFonts w:ascii="David" w:hAnsi="David" w:cs="David"/>
          <w:sz w:val="24"/>
          <w:szCs w:val="24"/>
          <w:shd w:val="clear" w:color="auto" w:fill="FFFFFF"/>
          <w:rtl/>
        </w:rPr>
        <w:t>, וזאת כדי להבטיח ודאות משפטית והגנה על אינטרס ההסתמכות של הצדדים</w:t>
      </w:r>
      <w:r w:rsidRPr="001D6195">
        <w:rPr>
          <w:rFonts w:ascii="David" w:hAnsi="David" w:cs="David"/>
          <w:sz w:val="24"/>
          <w:szCs w:val="24"/>
          <w:shd w:val="clear" w:color="auto" w:fill="FFFFFF"/>
        </w:rPr>
        <w:t>.</w:t>
      </w:r>
    </w:p>
    <w:p w14:paraId="05F0B46B" w14:textId="77777777" w:rsidR="009A6074" w:rsidRPr="000344E8" w:rsidRDefault="009A6074" w:rsidP="000344E8">
      <w:pPr>
        <w:pStyle w:val="11"/>
        <w:spacing w:line="360" w:lineRule="auto"/>
        <w:jc w:val="both"/>
        <w:rPr>
          <w:rFonts w:ascii="David" w:hAnsi="David" w:cs="David"/>
          <w:sz w:val="28"/>
          <w:szCs w:val="28"/>
        </w:rPr>
      </w:pPr>
    </w:p>
    <w:p w14:paraId="7E46339A" w14:textId="77777777" w:rsidR="009A6074" w:rsidRDefault="00E32C0E" w:rsidP="008928DA">
      <w:pPr>
        <w:pStyle w:val="11"/>
        <w:numPr>
          <w:ilvl w:val="0"/>
          <w:numId w:val="1"/>
        </w:numPr>
        <w:spacing w:line="360" w:lineRule="auto"/>
        <w:jc w:val="both"/>
        <w:rPr>
          <w:rFonts w:ascii="David" w:hAnsi="David" w:cs="David"/>
          <w:sz w:val="28"/>
          <w:szCs w:val="28"/>
        </w:rPr>
      </w:pPr>
      <w:hyperlink r:id="rId26" w:history="1">
        <w:r w:rsidRPr="00E32C0E">
          <w:rPr>
            <w:rStyle w:val="Hyperlink"/>
            <w:rFonts w:ascii="David" w:hAnsi="David" w:cs="David"/>
            <w:sz w:val="24"/>
            <w:szCs w:val="24"/>
            <w:rtl/>
          </w:rPr>
          <w:t>סעיף 9(ג1ג)(2)(ב)</w:t>
        </w:r>
      </w:hyperlink>
      <w:r w:rsidR="00000000">
        <w:rPr>
          <w:rFonts w:ascii="David" w:hAnsi="David" w:cs="David"/>
          <w:sz w:val="24"/>
          <w:szCs w:val="24"/>
          <w:rtl/>
        </w:rPr>
        <w:t xml:space="preserve"> מתייחס לשתי חלופות שיפור מגורי התא המשפחתי הנוכחיים (להלן: "</w:t>
      </w:r>
      <w:r w:rsidR="00000000">
        <w:rPr>
          <w:rFonts w:ascii="David" w:hAnsi="David" w:cs="David"/>
          <w:b/>
          <w:bCs/>
          <w:sz w:val="24"/>
          <w:szCs w:val="24"/>
          <w:rtl/>
        </w:rPr>
        <w:t>סעיף שיפור המגורים</w:t>
      </w:r>
      <w:r w:rsidR="00000000">
        <w:rPr>
          <w:rFonts w:ascii="David" w:hAnsi="David" w:cs="David"/>
          <w:sz w:val="24"/>
          <w:szCs w:val="24"/>
          <w:rtl/>
        </w:rPr>
        <w:t>"), ביחס לדירת מגורים אשר מיועדת להיות דירתו היחידה של הרוכש לאחר שימכור את דירתו הקודמת. כך קבע בית המשפט בפסק הדין בעניינם של העוררים מיום 17.1.2019, כי לשתי החלופות האלו תכלית משותפת "</w:t>
      </w:r>
      <w:r w:rsidR="00000000">
        <w:rPr>
          <w:rFonts w:ascii="David" w:hAnsi="David" w:cs="David"/>
          <w:b/>
          <w:bCs/>
          <w:sz w:val="24"/>
          <w:szCs w:val="24"/>
          <w:rtl/>
        </w:rPr>
        <w:t>להקל על אותם "משפרי דיור" אשר מתקשרים לרכישת דירה חדשה (בין מקבלן ובין ביד שניה) בעוד הם מחזיקים בדירה קודמת שטרם נמכרה</w:t>
      </w:r>
      <w:r w:rsidR="00000000">
        <w:rPr>
          <w:rFonts w:ascii="David" w:hAnsi="David" w:cs="David"/>
          <w:sz w:val="24"/>
          <w:szCs w:val="24"/>
          <w:rtl/>
        </w:rPr>
        <w:t xml:space="preserve">" (עניין </w:t>
      </w:r>
      <w:r w:rsidR="00000000">
        <w:rPr>
          <w:rFonts w:ascii="David" w:hAnsi="David" w:cs="David"/>
          <w:b/>
          <w:bCs/>
          <w:sz w:val="24"/>
          <w:szCs w:val="24"/>
          <w:rtl/>
        </w:rPr>
        <w:t>27213-02-19</w:t>
      </w:r>
      <w:r w:rsidR="00000000">
        <w:rPr>
          <w:rFonts w:ascii="David" w:hAnsi="David" w:cs="David"/>
          <w:sz w:val="24"/>
          <w:szCs w:val="24"/>
          <w:rtl/>
        </w:rPr>
        <w:t>, פסקה 10). מדובר בחלופות נוספות השקולות למצב של רכישת דירה יחידה, אשר גם בהן יש ליתן את הקלת המס לרוכש. ויוטעם, הקלה לפי סעיף שיפור המגורים תיתנן רק כאשר הדירה הקודמת- הישנה, הייתה דירתו היחידה של הרוכש עד למועד רכישת הדירה החלופית.</w:t>
      </w:r>
      <w:r w:rsidR="00000000">
        <w:rPr>
          <w:rFonts w:ascii="David" w:hAnsi="David" w:cs="David"/>
          <w:sz w:val="28"/>
          <w:szCs w:val="28"/>
          <w:rtl/>
        </w:rPr>
        <w:t xml:space="preserve"> </w:t>
      </w:r>
    </w:p>
    <w:p w14:paraId="663686C4" w14:textId="77777777" w:rsidR="009A6074" w:rsidRDefault="009A6074" w:rsidP="007F2201">
      <w:pPr>
        <w:pStyle w:val="11"/>
        <w:spacing w:line="360" w:lineRule="auto"/>
        <w:jc w:val="both"/>
        <w:rPr>
          <w:rFonts w:ascii="David" w:hAnsi="David" w:cs="David"/>
          <w:sz w:val="24"/>
          <w:szCs w:val="24"/>
        </w:rPr>
      </w:pPr>
    </w:p>
    <w:p w14:paraId="54DCF5BA" w14:textId="77777777" w:rsidR="009A6074" w:rsidRDefault="00000000" w:rsidP="007F2201">
      <w:pPr>
        <w:pStyle w:val="11"/>
        <w:numPr>
          <w:ilvl w:val="0"/>
          <w:numId w:val="1"/>
        </w:numPr>
        <w:spacing w:line="360" w:lineRule="auto"/>
        <w:jc w:val="both"/>
        <w:rPr>
          <w:rFonts w:ascii="David" w:hAnsi="David" w:cs="David"/>
          <w:sz w:val="24"/>
          <w:szCs w:val="24"/>
        </w:rPr>
      </w:pPr>
      <w:r>
        <w:rPr>
          <w:rFonts w:ascii="David" w:hAnsi="David" w:cs="David"/>
          <w:sz w:val="24"/>
          <w:szCs w:val="24"/>
          <w:rtl/>
        </w:rPr>
        <w:t>במסגרת תיקון מספר 93 לחוק בשנת 2018, נוסף סעיף קטן (ב1) שהגדיר חלופה נוספת לקבלת הקלת מס רכישה, וזו לשונו</w:t>
      </w:r>
      <w:r>
        <w:rPr>
          <w:rFonts w:ascii="David" w:hAnsi="David" w:cs="David"/>
          <w:sz w:val="24"/>
          <w:szCs w:val="24"/>
        </w:rPr>
        <w:t>:</w:t>
      </w:r>
    </w:p>
    <w:p w14:paraId="3BCBC952" w14:textId="77777777" w:rsidR="009A6074" w:rsidRDefault="00000000" w:rsidP="007F2201">
      <w:pPr>
        <w:pStyle w:val="p00"/>
        <w:bidi/>
        <w:spacing w:before="0" w:beforeAutospacing="0" w:after="0" w:afterAutospacing="0" w:line="360" w:lineRule="auto"/>
        <w:ind w:left="1417"/>
        <w:jc w:val="both"/>
        <w:rPr>
          <w:rFonts w:ascii="David" w:hAnsi="David" w:cs="David"/>
          <w:b/>
          <w:bCs/>
          <w:color w:val="000000"/>
          <w:sz w:val="18"/>
          <w:szCs w:val="18"/>
        </w:rPr>
      </w:pPr>
      <w:r>
        <w:rPr>
          <w:rStyle w:val="default"/>
          <w:rFonts w:ascii="David" w:hAnsi="David" w:cs="David"/>
          <w:color w:val="000000"/>
          <w:rtl/>
        </w:rPr>
        <w:t>"(</w:t>
      </w:r>
      <w:r>
        <w:rPr>
          <w:rStyle w:val="default"/>
          <w:rFonts w:ascii="David" w:hAnsi="David" w:cs="David"/>
          <w:b/>
          <w:bCs/>
          <w:color w:val="000000"/>
          <w:rtl/>
        </w:rPr>
        <w:t>ב1)</w:t>
      </w:r>
      <w:r w:rsidR="007E07D4">
        <w:rPr>
          <w:rStyle w:val="default"/>
          <w:rFonts w:ascii="David" w:hAnsi="David" w:cs="David"/>
          <w:b/>
          <w:bCs/>
          <w:color w:val="000000"/>
          <w:rtl/>
        </w:rPr>
        <w:t xml:space="preserve"> </w:t>
      </w:r>
      <w:r>
        <w:rPr>
          <w:rStyle w:val="default"/>
          <w:rFonts w:ascii="David" w:hAnsi="David" w:cs="David"/>
          <w:b/>
          <w:bCs/>
          <w:color w:val="000000"/>
          <w:rtl/>
        </w:rPr>
        <w:t xml:space="preserve"> (1)</w:t>
      </w:r>
      <w:r w:rsidR="007E07D4">
        <w:rPr>
          <w:rStyle w:val="default"/>
          <w:rFonts w:ascii="David" w:hAnsi="David" w:cs="David"/>
          <w:b/>
          <w:bCs/>
          <w:color w:val="000000"/>
          <w:rtl/>
        </w:rPr>
        <w:t xml:space="preserve">  </w:t>
      </w:r>
      <w:r>
        <w:rPr>
          <w:rStyle w:val="default"/>
          <w:rFonts w:ascii="David" w:hAnsi="David" w:cs="David"/>
          <w:b/>
          <w:bCs/>
          <w:color w:val="000000"/>
          <w:rtl/>
        </w:rPr>
        <w:t xml:space="preserve"> רכש את הדירה בחלוף אחת התקופות המפורטות להלן לאחר שרכש דירת מגורים אחרת במסגרת קבוצת רכישה (בפסקת משנה זו – הדירה בקבוצת הרכישה), ובעת שרכש את הדירה בקבוצת הרכישה היתה היא דירתו היחידה:</w:t>
      </w:r>
    </w:p>
    <w:p w14:paraId="13F72615" w14:textId="77777777" w:rsidR="009A6074" w:rsidRDefault="00000000" w:rsidP="007F2201">
      <w:pPr>
        <w:pStyle w:val="p00"/>
        <w:bidi/>
        <w:spacing w:before="0" w:beforeAutospacing="0" w:after="0" w:afterAutospacing="0" w:line="360" w:lineRule="auto"/>
        <w:ind w:left="1417"/>
        <w:jc w:val="both"/>
        <w:rPr>
          <w:rFonts w:ascii="David" w:hAnsi="David" w:cs="David"/>
          <w:b/>
          <w:bCs/>
          <w:color w:val="000000"/>
          <w:sz w:val="18"/>
          <w:szCs w:val="18"/>
        </w:rPr>
      </w:pPr>
      <w:r>
        <w:rPr>
          <w:rStyle w:val="default"/>
          <w:rFonts w:ascii="David" w:hAnsi="David" w:cs="David"/>
          <w:b/>
          <w:bCs/>
          <w:color w:val="000000"/>
          <w:rtl/>
        </w:rPr>
        <w:t>(א)</w:t>
      </w:r>
      <w:r w:rsidR="007E07D4">
        <w:rPr>
          <w:rStyle w:val="default"/>
          <w:rFonts w:ascii="David" w:hAnsi="David" w:cs="David"/>
          <w:b/>
          <w:bCs/>
          <w:color w:val="000000"/>
          <w:rtl/>
        </w:rPr>
        <w:t xml:space="preserve">  </w:t>
      </w:r>
      <w:r>
        <w:rPr>
          <w:rStyle w:val="default"/>
          <w:rFonts w:ascii="David" w:hAnsi="David" w:cs="David"/>
          <w:b/>
          <w:bCs/>
          <w:color w:val="000000"/>
          <w:rtl/>
        </w:rPr>
        <w:t xml:space="preserve"> ארבע שנים ממועד רכישת הדירה בקבוצת הרכישה – אם בנייתה של הדירה בקבוצת הרכישה לא החלה בתוך אותה תקופה, או אם שוכנע המנהל כי חל באותה תקופה עיכוב מהותי אחר בהשלמת בנייתה של הדירה בקבוצת הרכישה;</w:t>
      </w:r>
    </w:p>
    <w:p w14:paraId="0B7CBE90" w14:textId="77777777" w:rsidR="009A6074" w:rsidRDefault="00000000" w:rsidP="007F2201">
      <w:pPr>
        <w:pStyle w:val="p00"/>
        <w:bidi/>
        <w:spacing w:before="0" w:beforeAutospacing="0" w:after="0" w:afterAutospacing="0" w:line="360" w:lineRule="auto"/>
        <w:ind w:left="1417"/>
        <w:jc w:val="both"/>
        <w:rPr>
          <w:rFonts w:ascii="David" w:hAnsi="David" w:cs="David"/>
          <w:b/>
          <w:bCs/>
          <w:color w:val="000000"/>
          <w:sz w:val="18"/>
          <w:szCs w:val="18"/>
          <w:rtl/>
        </w:rPr>
      </w:pPr>
      <w:r>
        <w:rPr>
          <w:rStyle w:val="default"/>
          <w:rFonts w:ascii="David" w:hAnsi="David" w:cs="David"/>
          <w:b/>
          <w:bCs/>
          <w:color w:val="000000"/>
          <w:rtl/>
        </w:rPr>
        <w:t>(ב)</w:t>
      </w:r>
      <w:r w:rsidR="007E07D4">
        <w:rPr>
          <w:rStyle w:val="default"/>
          <w:rFonts w:ascii="David" w:hAnsi="David" w:cs="David"/>
          <w:b/>
          <w:bCs/>
          <w:color w:val="000000"/>
          <w:rtl/>
        </w:rPr>
        <w:t xml:space="preserve">  </w:t>
      </w:r>
      <w:r>
        <w:rPr>
          <w:rStyle w:val="default"/>
          <w:rFonts w:ascii="David" w:hAnsi="David" w:cs="David"/>
          <w:b/>
          <w:bCs/>
          <w:color w:val="000000"/>
          <w:rtl/>
        </w:rPr>
        <w:t xml:space="preserve"> 6.5 שנים ממועד רכישת הדירה בקבוצת הרכישה – אם החזקה בדירה בקבוצת הרכישה לא נמסרה בפועל לידי הרוכש באותה תקופה;</w:t>
      </w:r>
    </w:p>
    <w:p w14:paraId="4BA74000" w14:textId="77777777" w:rsidR="009A6074" w:rsidRDefault="00000000" w:rsidP="007F2201">
      <w:pPr>
        <w:pStyle w:val="p00"/>
        <w:bidi/>
        <w:spacing w:before="0" w:beforeAutospacing="0" w:after="0" w:afterAutospacing="0" w:line="360" w:lineRule="auto"/>
        <w:ind w:left="1417"/>
        <w:jc w:val="both"/>
        <w:rPr>
          <w:rFonts w:ascii="David" w:hAnsi="David" w:cs="David"/>
          <w:b/>
          <w:bCs/>
          <w:color w:val="000000"/>
          <w:sz w:val="18"/>
          <w:szCs w:val="18"/>
          <w:rtl/>
        </w:rPr>
      </w:pPr>
      <w:r>
        <w:rPr>
          <w:rStyle w:val="default"/>
          <w:rFonts w:ascii="David" w:hAnsi="David" w:cs="David"/>
          <w:b/>
          <w:bCs/>
          <w:color w:val="000000"/>
          <w:rtl/>
        </w:rPr>
        <w:t>(2)</w:t>
      </w:r>
      <w:r w:rsidR="007E07D4">
        <w:rPr>
          <w:rStyle w:val="default"/>
          <w:rFonts w:ascii="David" w:hAnsi="David" w:cs="David"/>
          <w:b/>
          <w:bCs/>
          <w:color w:val="000000"/>
          <w:rtl/>
        </w:rPr>
        <w:t xml:space="preserve">  </w:t>
      </w:r>
      <w:r>
        <w:rPr>
          <w:rStyle w:val="default"/>
          <w:rFonts w:ascii="David" w:hAnsi="David" w:cs="David"/>
          <w:b/>
          <w:bCs/>
          <w:color w:val="000000"/>
          <w:rtl/>
        </w:rPr>
        <w:t xml:space="preserve"> הוראות פסקת משנה (1) יחולו בהתקיים כל אלה:</w:t>
      </w:r>
    </w:p>
    <w:p w14:paraId="6A4F27D9" w14:textId="77777777" w:rsidR="009A6074" w:rsidRDefault="00000000" w:rsidP="007F2201">
      <w:pPr>
        <w:pStyle w:val="p00"/>
        <w:bidi/>
        <w:spacing w:before="0" w:beforeAutospacing="0" w:after="0" w:afterAutospacing="0" w:line="360" w:lineRule="auto"/>
        <w:ind w:left="1417"/>
        <w:jc w:val="both"/>
        <w:rPr>
          <w:rFonts w:ascii="David" w:hAnsi="David" w:cs="David"/>
          <w:b/>
          <w:bCs/>
          <w:color w:val="000000"/>
          <w:sz w:val="18"/>
          <w:szCs w:val="18"/>
          <w:rtl/>
        </w:rPr>
      </w:pPr>
      <w:r>
        <w:rPr>
          <w:rStyle w:val="default"/>
          <w:rFonts w:ascii="David" w:hAnsi="David" w:cs="David"/>
          <w:b/>
          <w:bCs/>
          <w:color w:val="000000"/>
          <w:rtl/>
        </w:rPr>
        <w:t>(א)</w:t>
      </w:r>
      <w:r w:rsidR="007E07D4">
        <w:rPr>
          <w:rStyle w:val="default"/>
          <w:rFonts w:ascii="David" w:hAnsi="David" w:cs="David"/>
          <w:b/>
          <w:bCs/>
          <w:color w:val="000000"/>
          <w:rtl/>
        </w:rPr>
        <w:t xml:space="preserve">  </w:t>
      </w:r>
      <w:r>
        <w:rPr>
          <w:rStyle w:val="default"/>
          <w:rFonts w:ascii="David" w:hAnsi="David" w:cs="David"/>
          <w:b/>
          <w:bCs/>
          <w:color w:val="000000"/>
          <w:rtl/>
        </w:rPr>
        <w:t xml:space="preserve"> העיכוב בהתחלת הבנייה או בהשלמתה, לפי העניין, חל בנסיבות שאינן בשליטתו של הרוכש ולא היו ידועות במועד רכישת הדירה בקבוצת הרכישה;</w:t>
      </w:r>
    </w:p>
    <w:p w14:paraId="79B8A697" w14:textId="77777777" w:rsidR="009A6074" w:rsidRDefault="00000000" w:rsidP="007F2201">
      <w:pPr>
        <w:pStyle w:val="p00"/>
        <w:bidi/>
        <w:spacing w:before="0" w:beforeAutospacing="0" w:after="0" w:afterAutospacing="0" w:line="360" w:lineRule="auto"/>
        <w:ind w:left="1417"/>
        <w:jc w:val="both"/>
        <w:rPr>
          <w:rFonts w:ascii="David" w:hAnsi="David" w:cs="David"/>
          <w:b/>
          <w:bCs/>
          <w:color w:val="000000"/>
          <w:sz w:val="18"/>
          <w:szCs w:val="18"/>
          <w:rtl/>
        </w:rPr>
      </w:pPr>
      <w:r>
        <w:rPr>
          <w:rStyle w:val="default"/>
          <w:rFonts w:ascii="David" w:hAnsi="David" w:cs="David"/>
          <w:b/>
          <w:bCs/>
          <w:color w:val="000000"/>
          <w:rtl/>
        </w:rPr>
        <w:t>(ב)</w:t>
      </w:r>
      <w:r w:rsidR="007E07D4">
        <w:rPr>
          <w:rStyle w:val="default"/>
          <w:rFonts w:ascii="David" w:hAnsi="David" w:cs="David"/>
          <w:b/>
          <w:bCs/>
          <w:color w:val="000000"/>
          <w:rtl/>
        </w:rPr>
        <w:t xml:space="preserve">  </w:t>
      </w:r>
      <w:r>
        <w:rPr>
          <w:rStyle w:val="default"/>
          <w:rFonts w:ascii="David" w:hAnsi="David" w:cs="David"/>
          <w:b/>
          <w:bCs/>
          <w:color w:val="000000"/>
          <w:rtl/>
        </w:rPr>
        <w:t xml:space="preserve"> הרוכש מכר את הדירה בקבוצת הרכישה בתוך 18 חודשים ממועד השלמת בנייתה;</w:t>
      </w:r>
    </w:p>
    <w:p w14:paraId="3BDBEB3D" w14:textId="77777777" w:rsidR="009A6074" w:rsidRDefault="00000000" w:rsidP="007F2201">
      <w:pPr>
        <w:pStyle w:val="p00"/>
        <w:bidi/>
        <w:spacing w:before="0" w:beforeAutospacing="0" w:after="0" w:afterAutospacing="0" w:line="360" w:lineRule="auto"/>
        <w:ind w:left="1417"/>
        <w:jc w:val="both"/>
        <w:rPr>
          <w:rFonts w:ascii="David" w:hAnsi="David" w:cs="David"/>
          <w:b/>
          <w:bCs/>
          <w:color w:val="000000"/>
          <w:sz w:val="18"/>
          <w:szCs w:val="18"/>
          <w:rtl/>
        </w:rPr>
      </w:pPr>
      <w:r>
        <w:rPr>
          <w:rStyle w:val="default"/>
          <w:rFonts w:ascii="David" w:hAnsi="David" w:cs="David"/>
          <w:b/>
          <w:bCs/>
          <w:color w:val="000000"/>
          <w:rtl/>
        </w:rPr>
        <w:t>(ג)</w:t>
      </w:r>
      <w:r w:rsidR="007E07D4">
        <w:rPr>
          <w:rStyle w:val="default"/>
          <w:rFonts w:ascii="David" w:hAnsi="David" w:cs="David"/>
          <w:b/>
          <w:bCs/>
          <w:color w:val="000000"/>
          <w:rtl/>
        </w:rPr>
        <w:t xml:space="preserve">   </w:t>
      </w:r>
      <w:r>
        <w:rPr>
          <w:rStyle w:val="default"/>
          <w:rFonts w:ascii="David" w:hAnsi="David" w:cs="David"/>
          <w:b/>
          <w:bCs/>
          <w:color w:val="000000"/>
          <w:rtl/>
        </w:rPr>
        <w:t xml:space="preserve"> אלמלא רכש את הדירה בקבוצת הרכישה, היתה הדירה דירתו היחידה;</w:t>
      </w:r>
    </w:p>
    <w:p w14:paraId="7EDC4AB7" w14:textId="77777777" w:rsidR="009A6074" w:rsidRDefault="00000000" w:rsidP="007F2201">
      <w:pPr>
        <w:pStyle w:val="p00"/>
        <w:bidi/>
        <w:spacing w:before="0" w:beforeAutospacing="0" w:after="0" w:afterAutospacing="0" w:line="360" w:lineRule="auto"/>
        <w:ind w:left="1417"/>
        <w:jc w:val="both"/>
        <w:rPr>
          <w:rFonts w:ascii="David" w:hAnsi="David" w:cs="David"/>
          <w:b/>
          <w:bCs/>
          <w:color w:val="000000"/>
          <w:sz w:val="18"/>
          <w:szCs w:val="18"/>
          <w:rtl/>
        </w:rPr>
      </w:pPr>
      <w:r>
        <w:rPr>
          <w:rStyle w:val="default"/>
          <w:rFonts w:ascii="David" w:hAnsi="David" w:cs="David"/>
          <w:b/>
          <w:bCs/>
          <w:color w:val="000000"/>
          <w:rtl/>
        </w:rPr>
        <w:t>(3)</w:t>
      </w:r>
      <w:r w:rsidR="007E07D4">
        <w:rPr>
          <w:rStyle w:val="default"/>
          <w:rFonts w:ascii="David" w:hAnsi="David" w:cs="David"/>
          <w:b/>
          <w:bCs/>
          <w:color w:val="000000"/>
          <w:rtl/>
        </w:rPr>
        <w:t xml:space="preserve">  </w:t>
      </w:r>
      <w:r>
        <w:rPr>
          <w:rStyle w:val="default"/>
          <w:rFonts w:ascii="David" w:hAnsi="David" w:cs="David"/>
          <w:b/>
          <w:bCs/>
          <w:color w:val="000000"/>
          <w:rtl/>
        </w:rPr>
        <w:t xml:space="preserve"> בפסקת משנה זו –</w:t>
      </w:r>
    </w:p>
    <w:p w14:paraId="642B3A3A" w14:textId="77777777" w:rsidR="009A6074" w:rsidRDefault="00000000" w:rsidP="007F2201">
      <w:pPr>
        <w:pStyle w:val="p00"/>
        <w:bidi/>
        <w:spacing w:before="0" w:beforeAutospacing="0" w:after="0" w:afterAutospacing="0" w:line="360" w:lineRule="auto"/>
        <w:ind w:left="1417"/>
        <w:jc w:val="both"/>
        <w:rPr>
          <w:rFonts w:ascii="David" w:hAnsi="David" w:cs="David"/>
          <w:b/>
          <w:bCs/>
          <w:color w:val="000000"/>
          <w:sz w:val="18"/>
          <w:szCs w:val="18"/>
          <w:rtl/>
        </w:rPr>
      </w:pPr>
      <w:r>
        <w:rPr>
          <w:rStyle w:val="default"/>
          <w:rFonts w:ascii="David" w:hAnsi="David" w:cs="David"/>
          <w:b/>
          <w:bCs/>
          <w:color w:val="000000"/>
          <w:rtl/>
        </w:rPr>
        <w:t>"התחלת בנייה" – עבודות להקמת הבניין, למעט עבודות תשתית או עבודות להכשרת הקרקע;</w:t>
      </w:r>
    </w:p>
    <w:p w14:paraId="6965A4B3" w14:textId="77777777" w:rsidR="009A6074" w:rsidRDefault="00000000" w:rsidP="007F2201">
      <w:pPr>
        <w:pStyle w:val="p00"/>
        <w:bidi/>
        <w:spacing w:before="0" w:beforeAutospacing="0" w:after="0" w:afterAutospacing="0" w:line="360" w:lineRule="auto"/>
        <w:ind w:left="1417"/>
        <w:jc w:val="both"/>
        <w:rPr>
          <w:rFonts w:ascii="David" w:hAnsi="David" w:cs="David"/>
          <w:b/>
          <w:bCs/>
          <w:color w:val="000000"/>
          <w:sz w:val="18"/>
          <w:szCs w:val="18"/>
          <w:rtl/>
        </w:rPr>
      </w:pPr>
      <w:r>
        <w:rPr>
          <w:rStyle w:val="default"/>
          <w:rFonts w:ascii="David" w:hAnsi="David" w:cs="David"/>
          <w:b/>
          <w:bCs/>
          <w:color w:val="000000"/>
          <w:rtl/>
        </w:rPr>
        <w:t>"עיכוב מהותי" – עיכוב בהמשך הבנייה או כל האטה בקצב התקדמות הבנייה שאינה מקובלת ברכישת דירה במסגרת קבוצת רכישה."</w:t>
      </w:r>
    </w:p>
    <w:p w14:paraId="7B6C5ADD" w14:textId="77777777" w:rsidR="009A6074" w:rsidRDefault="009A6074" w:rsidP="007F2201">
      <w:pPr>
        <w:pStyle w:val="p00"/>
        <w:bidi/>
        <w:spacing w:before="0" w:beforeAutospacing="0" w:after="0" w:afterAutospacing="0" w:line="360" w:lineRule="auto"/>
        <w:ind w:left="1417"/>
        <w:jc w:val="both"/>
        <w:rPr>
          <w:rFonts w:ascii="David" w:hAnsi="David" w:cs="David"/>
          <w:color w:val="000000"/>
          <w:rtl/>
        </w:rPr>
      </w:pPr>
    </w:p>
    <w:p w14:paraId="06E6C973" w14:textId="77777777" w:rsidR="009A6074" w:rsidRDefault="00E32C0E" w:rsidP="007F2201">
      <w:pPr>
        <w:pStyle w:val="11"/>
        <w:numPr>
          <w:ilvl w:val="0"/>
          <w:numId w:val="1"/>
        </w:numPr>
        <w:spacing w:line="360" w:lineRule="auto"/>
        <w:jc w:val="both"/>
        <w:rPr>
          <w:rFonts w:ascii="David" w:hAnsi="David" w:cs="David"/>
          <w:sz w:val="24"/>
          <w:szCs w:val="24"/>
          <w:rtl/>
        </w:rPr>
      </w:pPr>
      <w:hyperlink r:id="rId27" w:history="1">
        <w:r w:rsidRPr="00E32C0E">
          <w:rPr>
            <w:rStyle w:val="Hyperlink"/>
            <w:rFonts w:ascii="David" w:hAnsi="David" w:cs="David"/>
            <w:sz w:val="24"/>
            <w:szCs w:val="24"/>
            <w:rtl/>
          </w:rPr>
          <w:t>סעיף 9(ג1ג)(2)(ב1)</w:t>
        </w:r>
      </w:hyperlink>
      <w:r w:rsidR="00000000">
        <w:rPr>
          <w:rFonts w:ascii="David" w:hAnsi="David" w:cs="David"/>
          <w:sz w:val="24"/>
          <w:szCs w:val="24"/>
          <w:rtl/>
        </w:rPr>
        <w:t xml:space="preserve"> (להלן: "</w:t>
      </w:r>
      <w:r w:rsidR="00000000">
        <w:rPr>
          <w:rFonts w:ascii="David" w:hAnsi="David" w:cs="David"/>
          <w:b/>
          <w:bCs/>
          <w:sz w:val="24"/>
          <w:szCs w:val="24"/>
          <w:rtl/>
        </w:rPr>
        <w:t>סעיף קבוצת הרכישה</w:t>
      </w:r>
      <w:r w:rsidR="00000000">
        <w:rPr>
          <w:rFonts w:ascii="David" w:hAnsi="David" w:cs="David"/>
          <w:sz w:val="24"/>
          <w:szCs w:val="24"/>
          <w:rtl/>
        </w:rPr>
        <w:t>") מתייחס לסיטואציה בה נישום רכש דירה ראשונה יחידה בקבוצת רכישה, אשר בחלוף המועדים הקבועים בסעיף לא הושלמה בנייתה ולכן רכש דירה אחרת. לפי הסעיף, הרוכש יהיה זכאי להקלת מס רכישה בגין "דירה יחידה", בחלוף 4 או 6.5 שנים ממועד רכישת הדירה בתנאים הבאים:</w:t>
      </w:r>
    </w:p>
    <w:p w14:paraId="5ECAE950" w14:textId="77777777" w:rsidR="009A6074" w:rsidRDefault="00000000" w:rsidP="007F2201">
      <w:pPr>
        <w:pStyle w:val="11"/>
        <w:numPr>
          <w:ilvl w:val="0"/>
          <w:numId w:val="3"/>
        </w:numPr>
        <w:spacing w:line="360" w:lineRule="auto"/>
        <w:ind w:left="1443"/>
        <w:jc w:val="both"/>
        <w:rPr>
          <w:rFonts w:ascii="David" w:hAnsi="David" w:cs="David"/>
          <w:sz w:val="24"/>
          <w:szCs w:val="24"/>
        </w:rPr>
      </w:pPr>
      <w:r>
        <w:rPr>
          <w:rFonts w:ascii="David" w:hAnsi="David" w:cs="David"/>
          <w:sz w:val="24"/>
          <w:szCs w:val="24"/>
          <w:rtl/>
        </w:rPr>
        <w:t>כאשר העיכוב בבניה חל בנסיבות שאינן בשליטת הרוכש ולא היו ידועות לו עת רכש את הדירה בקבוצת הרכישה.</w:t>
      </w:r>
    </w:p>
    <w:p w14:paraId="2965862B" w14:textId="77777777" w:rsidR="009A6074" w:rsidRDefault="00000000" w:rsidP="007F2201">
      <w:pPr>
        <w:pStyle w:val="11"/>
        <w:numPr>
          <w:ilvl w:val="0"/>
          <w:numId w:val="3"/>
        </w:numPr>
        <w:spacing w:line="360" w:lineRule="auto"/>
        <w:ind w:left="1443"/>
        <w:jc w:val="both"/>
        <w:rPr>
          <w:rFonts w:ascii="David" w:hAnsi="David" w:cs="David"/>
          <w:sz w:val="24"/>
          <w:szCs w:val="24"/>
        </w:rPr>
      </w:pPr>
      <w:r>
        <w:rPr>
          <w:rFonts w:ascii="David" w:hAnsi="David" w:cs="David"/>
          <w:sz w:val="24"/>
          <w:szCs w:val="24"/>
          <w:rtl/>
        </w:rPr>
        <w:t>הרוכש מכר את הדירה בקבוצת הרכישה תוך 18 חודשים ממועד השלמת בנייתה.</w:t>
      </w:r>
    </w:p>
    <w:p w14:paraId="36D8ECE0" w14:textId="77777777" w:rsidR="009A6074" w:rsidRDefault="00000000" w:rsidP="007F2201">
      <w:pPr>
        <w:pStyle w:val="11"/>
        <w:numPr>
          <w:ilvl w:val="0"/>
          <w:numId w:val="3"/>
        </w:numPr>
        <w:spacing w:line="360" w:lineRule="auto"/>
        <w:ind w:left="1443"/>
        <w:jc w:val="both"/>
        <w:rPr>
          <w:rFonts w:ascii="David" w:hAnsi="David" w:cs="David"/>
          <w:sz w:val="24"/>
          <w:szCs w:val="24"/>
        </w:rPr>
      </w:pPr>
      <w:r>
        <w:rPr>
          <w:rFonts w:ascii="David" w:hAnsi="David" w:cs="David"/>
          <w:sz w:val="24"/>
          <w:szCs w:val="24"/>
          <w:rtl/>
        </w:rPr>
        <w:t>אלמלא רכש את הדירה בקבוצת הרכישה, הייתה הדירה האחרת דירתו היחידה.</w:t>
      </w:r>
    </w:p>
    <w:p w14:paraId="3B040B44" w14:textId="77777777" w:rsidR="009A6074" w:rsidRDefault="009A6074" w:rsidP="007F2201">
      <w:pPr>
        <w:pStyle w:val="11"/>
        <w:spacing w:line="360" w:lineRule="auto"/>
        <w:ind w:left="1443"/>
        <w:jc w:val="both"/>
        <w:rPr>
          <w:rFonts w:ascii="David" w:hAnsi="David" w:cs="David"/>
          <w:sz w:val="24"/>
          <w:szCs w:val="24"/>
        </w:rPr>
      </w:pPr>
    </w:p>
    <w:p w14:paraId="25310AE5" w14:textId="77777777" w:rsidR="009A6074" w:rsidRDefault="00000000" w:rsidP="007F2201">
      <w:pPr>
        <w:pStyle w:val="11"/>
        <w:numPr>
          <w:ilvl w:val="0"/>
          <w:numId w:val="1"/>
        </w:numPr>
        <w:spacing w:line="360" w:lineRule="auto"/>
        <w:jc w:val="both"/>
        <w:rPr>
          <w:rFonts w:ascii="David" w:hAnsi="David" w:cs="David"/>
          <w:sz w:val="24"/>
          <w:szCs w:val="24"/>
          <w:rtl/>
        </w:rPr>
      </w:pPr>
      <w:r>
        <w:rPr>
          <w:rFonts w:ascii="David" w:hAnsi="David" w:cs="David"/>
          <w:sz w:val="24"/>
          <w:szCs w:val="24"/>
          <w:rtl/>
        </w:rPr>
        <w:t>תכליתו של סעיף קבוצת הרכישה היא מתן מענה לתא משפחתי החסר כל דירה אחרת בבעלותו והמבקש לרכוש מדור, כאשר ניסיונותיו לעשות זאת באמצעות קבוצת רכישה לא צלחו. התיקון נוסף בעקבות פניות רבות של רוכשים בקבוצת רכישה, אשר הליך הבניה התעכב או טרם החל ואלו נותרו שנים ארוכות ללא דירת מגורים בבעלותם, ולפיכך נדרשו לתחליפי מדור כגון שכירות.</w:t>
      </w:r>
    </w:p>
    <w:p w14:paraId="657BA8D7" w14:textId="77777777" w:rsidR="009A6074" w:rsidRDefault="009A6074" w:rsidP="007F2201">
      <w:pPr>
        <w:pStyle w:val="11"/>
        <w:spacing w:line="360" w:lineRule="auto"/>
        <w:jc w:val="both"/>
        <w:rPr>
          <w:rFonts w:ascii="David" w:hAnsi="David" w:cs="David"/>
          <w:sz w:val="24"/>
          <w:szCs w:val="24"/>
        </w:rPr>
      </w:pPr>
    </w:p>
    <w:p w14:paraId="54091C0B" w14:textId="77777777" w:rsidR="009A6074" w:rsidRPr="003F31E8" w:rsidRDefault="00000000" w:rsidP="00644618">
      <w:pPr>
        <w:pStyle w:val="11"/>
        <w:numPr>
          <w:ilvl w:val="0"/>
          <w:numId w:val="1"/>
        </w:numPr>
        <w:spacing w:line="360" w:lineRule="auto"/>
        <w:jc w:val="both"/>
        <w:rPr>
          <w:rStyle w:val="default"/>
          <w:rFonts w:ascii="David" w:hAnsi="David" w:cs="David"/>
          <w:b/>
          <w:bCs/>
          <w:sz w:val="24"/>
          <w:szCs w:val="24"/>
        </w:rPr>
      </w:pPr>
      <w:r>
        <w:rPr>
          <w:rFonts w:ascii="David" w:hAnsi="David" w:cs="David"/>
          <w:spacing w:val="10"/>
          <w:sz w:val="24"/>
          <w:szCs w:val="24"/>
          <w:shd w:val="clear" w:color="auto" w:fill="FFFFFF"/>
          <w:rtl/>
        </w:rPr>
        <w:t xml:space="preserve">מכאן נעבור לחקיקה הנוגעת לתיקון שומה בידי המנהל. לצד הגשת השגה וערר לבית משפט, </w:t>
      </w:r>
      <w:hyperlink r:id="rId28" w:history="1">
        <w:r w:rsidR="00E32C0E" w:rsidRPr="00E32C0E">
          <w:rPr>
            <w:rStyle w:val="Hyperlink"/>
            <w:rFonts w:ascii="David" w:hAnsi="David" w:cs="David"/>
            <w:spacing w:val="10"/>
            <w:sz w:val="24"/>
            <w:szCs w:val="24"/>
            <w:shd w:val="clear" w:color="auto" w:fill="FFFFFF"/>
            <w:rtl/>
          </w:rPr>
          <w:t>סעיף 85</w:t>
        </w:r>
      </w:hyperlink>
      <w:r>
        <w:rPr>
          <w:rFonts w:ascii="David" w:hAnsi="David" w:cs="David"/>
          <w:spacing w:val="10"/>
          <w:sz w:val="24"/>
          <w:szCs w:val="24"/>
          <w:shd w:val="clear" w:color="auto" w:fill="FFFFFF"/>
          <w:rtl/>
        </w:rPr>
        <w:t xml:space="preserve"> ל</w:t>
      </w:r>
      <w:hyperlink r:id="rId29" w:history="1">
        <w:r w:rsidR="00E32C0E" w:rsidRPr="00E32C0E">
          <w:rPr>
            <w:rStyle w:val="Hyperlink"/>
            <w:rFonts w:ascii="David" w:hAnsi="David" w:cs="David"/>
            <w:spacing w:val="10"/>
            <w:sz w:val="24"/>
            <w:szCs w:val="24"/>
            <w:shd w:val="clear" w:color="auto" w:fill="FFFFFF"/>
            <w:rtl/>
          </w:rPr>
          <w:t>חוק מיסוי מקרקעין</w:t>
        </w:r>
      </w:hyperlink>
      <w:r>
        <w:rPr>
          <w:rFonts w:ascii="David" w:hAnsi="David" w:cs="David"/>
          <w:spacing w:val="10"/>
          <w:sz w:val="24"/>
          <w:szCs w:val="24"/>
          <w:shd w:val="clear" w:color="auto" w:fill="FFFFFF"/>
          <w:rtl/>
        </w:rPr>
        <w:t xml:space="preserve"> מהווה דרך נוספת לתיקון החלטות המנהל </w:t>
      </w:r>
      <w:r>
        <w:rPr>
          <w:rFonts w:ascii="David" w:hAnsi="David" w:cs="David"/>
          <w:sz w:val="24"/>
          <w:szCs w:val="24"/>
          <w:rtl/>
        </w:rPr>
        <w:t>(</w:t>
      </w:r>
      <w:r>
        <w:rPr>
          <w:rStyle w:val="default"/>
          <w:rFonts w:ascii="David" w:hAnsi="David" w:cs="David"/>
          <w:spacing w:val="10"/>
          <w:sz w:val="24"/>
          <w:szCs w:val="24"/>
          <w:rtl/>
        </w:rPr>
        <w:t xml:space="preserve">י. הדרי, </w:t>
      </w:r>
      <w:r>
        <w:rPr>
          <w:rStyle w:val="default"/>
          <w:rFonts w:ascii="David" w:hAnsi="David" w:cs="David"/>
          <w:b/>
          <w:bCs/>
          <w:spacing w:val="10"/>
          <w:sz w:val="24"/>
          <w:szCs w:val="24"/>
          <w:rtl/>
        </w:rPr>
        <w:t>מס שבח ומקרקעין</w:t>
      </w:r>
      <w:r>
        <w:rPr>
          <w:rStyle w:val="default"/>
          <w:rFonts w:ascii="David" w:hAnsi="David" w:cs="David"/>
          <w:spacing w:val="10"/>
          <w:sz w:val="24"/>
          <w:szCs w:val="24"/>
          <w:rtl/>
        </w:rPr>
        <w:t xml:space="preserve">, כרך ג, עמוד 174 (להלן: </w:t>
      </w:r>
      <w:r>
        <w:rPr>
          <w:rStyle w:val="default"/>
          <w:rFonts w:ascii="David" w:hAnsi="David" w:cs="David"/>
          <w:b/>
          <w:bCs/>
          <w:spacing w:val="10"/>
          <w:sz w:val="24"/>
          <w:szCs w:val="24"/>
          <w:rtl/>
        </w:rPr>
        <w:t>הדרי, מס שבח ומקרקעין</w:t>
      </w:r>
      <w:r>
        <w:rPr>
          <w:rStyle w:val="default"/>
          <w:rFonts w:ascii="David" w:hAnsi="David" w:cs="David"/>
          <w:spacing w:val="10"/>
          <w:sz w:val="24"/>
          <w:szCs w:val="24"/>
          <w:rtl/>
        </w:rPr>
        <w:t>)</w:t>
      </w:r>
      <w:r>
        <w:rPr>
          <w:rFonts w:ascii="David" w:hAnsi="David" w:cs="David"/>
          <w:spacing w:val="10"/>
          <w:sz w:val="24"/>
          <w:szCs w:val="24"/>
          <w:shd w:val="clear" w:color="auto" w:fill="FFFFFF"/>
          <w:rtl/>
        </w:rPr>
        <w:t xml:space="preserve">; </w:t>
      </w:r>
      <w:r>
        <w:rPr>
          <w:rFonts w:ascii="David" w:hAnsi="David" w:cs="David"/>
          <w:b/>
          <w:bCs/>
          <w:sz w:val="24"/>
          <w:szCs w:val="24"/>
          <w:rtl/>
        </w:rPr>
        <w:t>מנהל מס שבח מקרקעין תל-אביב נ' גורפינקל יעקב</w:t>
      </w:r>
      <w:r w:rsidR="007E07D4">
        <w:rPr>
          <w:rFonts w:ascii="David" w:hAnsi="David" w:cs="David"/>
          <w:sz w:val="24"/>
          <w:szCs w:val="24"/>
          <w:rtl/>
        </w:rPr>
        <w:t xml:space="preserve"> </w:t>
      </w:r>
      <w:r>
        <w:rPr>
          <w:rFonts w:ascii="David" w:hAnsi="David" w:cs="David"/>
          <w:sz w:val="24"/>
          <w:szCs w:val="24"/>
          <w:rtl/>
        </w:rPr>
        <w:t>(</w:t>
      </w:r>
      <w:hyperlink r:id="rId30" w:history="1">
        <w:r w:rsidR="00E32C0E" w:rsidRPr="00E32C0E">
          <w:rPr>
            <w:rStyle w:val="Hyperlink"/>
            <w:rFonts w:ascii="David" w:hAnsi="David" w:cs="David"/>
            <w:sz w:val="24"/>
            <w:szCs w:val="24"/>
            <w:rtl/>
          </w:rPr>
          <w:t>ע"א 583/90</w:t>
        </w:r>
      </w:hyperlink>
      <w:r>
        <w:rPr>
          <w:rFonts w:ascii="David" w:hAnsi="David" w:cs="David"/>
          <w:sz w:val="24"/>
          <w:szCs w:val="24"/>
          <w:rtl/>
        </w:rPr>
        <w:t>),</w:t>
      </w:r>
      <w:r w:rsidR="007E07D4">
        <w:rPr>
          <w:rFonts w:ascii="David" w:hAnsi="David" w:cs="David"/>
          <w:sz w:val="24"/>
          <w:szCs w:val="24"/>
          <w:rtl/>
        </w:rPr>
        <w:t xml:space="preserve"> </w:t>
      </w:r>
      <w:r>
        <w:rPr>
          <w:rFonts w:ascii="David" w:hAnsi="David" w:cs="David"/>
          <w:sz w:val="24"/>
          <w:szCs w:val="24"/>
          <w:rtl/>
        </w:rPr>
        <w:t>תקדין עליון 94(3) 290)</w:t>
      </w:r>
      <w:r>
        <w:rPr>
          <w:rFonts w:ascii="David" w:hAnsi="David" w:cs="David"/>
          <w:spacing w:val="10"/>
          <w:sz w:val="24"/>
          <w:szCs w:val="24"/>
          <w:shd w:val="clear" w:color="auto" w:fill="FFFFFF"/>
          <w:rtl/>
        </w:rPr>
        <w:t>, וזו לשונו:</w:t>
      </w:r>
    </w:p>
    <w:p w14:paraId="7C85A6F6" w14:textId="77777777" w:rsidR="009A6074" w:rsidRDefault="00000000" w:rsidP="007F2201">
      <w:pPr>
        <w:spacing w:line="360" w:lineRule="auto"/>
        <w:ind w:left="1417"/>
        <w:jc w:val="both"/>
        <w:rPr>
          <w:b/>
          <w:bCs/>
          <w:noProof w:val="0"/>
          <w:rtl/>
        </w:rPr>
      </w:pPr>
      <w:r>
        <w:rPr>
          <w:rStyle w:val="default"/>
          <w:rFonts w:ascii="David" w:hAnsi="David" w:cs="David"/>
          <w:noProof w:val="0"/>
          <w:rtl/>
        </w:rPr>
        <w:t>"</w:t>
      </w:r>
      <w:r>
        <w:rPr>
          <w:rStyle w:val="default"/>
          <w:rFonts w:ascii="David" w:hAnsi="David" w:cs="David"/>
          <w:b/>
          <w:bCs/>
          <w:noProof w:val="0"/>
          <w:rtl/>
        </w:rPr>
        <w:t>המנהל רשאי, בין ביזמתו ובין לפי דרישת מי ששילם מס, לתקן שומה שנעשתה לפי סעיף 78(ב) או (ג) או לפי סעיף 82, תוך ארבע שנים מיום שאושרה כשומה עצמית או מיום שנקבעה שומה לפי מיטב השפיטה, לפי העניין, בכל אחד מהמקרים האלה:</w:t>
      </w:r>
    </w:p>
    <w:p w14:paraId="2E632AD2" w14:textId="77777777" w:rsidR="009A6074" w:rsidRDefault="00000000" w:rsidP="007F2201">
      <w:pPr>
        <w:pStyle w:val="p22"/>
        <w:bidi/>
        <w:spacing w:before="0" w:beforeAutospacing="0" w:after="0" w:afterAutospacing="0" w:line="360" w:lineRule="auto"/>
        <w:ind w:left="1417"/>
        <w:jc w:val="both"/>
        <w:rPr>
          <w:rFonts w:ascii="David" w:hAnsi="David" w:cs="David"/>
          <w:b/>
          <w:bCs/>
        </w:rPr>
      </w:pPr>
      <w:r>
        <w:rPr>
          <w:rStyle w:val="default"/>
          <w:rFonts w:ascii="David" w:hAnsi="David" w:cs="David"/>
          <w:b/>
          <w:bCs/>
          <w:rtl/>
        </w:rPr>
        <w:t>(1)</w:t>
      </w:r>
      <w:r w:rsidR="007E07D4">
        <w:rPr>
          <w:rStyle w:val="default"/>
          <w:rFonts w:ascii="David" w:hAnsi="David" w:cs="David"/>
          <w:b/>
          <w:bCs/>
          <w:rtl/>
        </w:rPr>
        <w:t xml:space="preserve">  </w:t>
      </w:r>
      <w:r>
        <w:rPr>
          <w:rStyle w:val="default"/>
          <w:rFonts w:ascii="David" w:hAnsi="David" w:cs="David"/>
          <w:b/>
          <w:bCs/>
          <w:rtl/>
        </w:rPr>
        <w:t xml:space="preserve"> נתגלו עובדות חדשות העשויות, לבדן או ביחד עם החומר שהיה בידי המנהל, בעת עשיית השומה, לחייב במס או לשנות את סכום המס;</w:t>
      </w:r>
    </w:p>
    <w:p w14:paraId="2D6E9315" w14:textId="77777777" w:rsidR="009A6074" w:rsidRDefault="00000000" w:rsidP="007F2201">
      <w:pPr>
        <w:pStyle w:val="p22"/>
        <w:bidi/>
        <w:spacing w:before="0" w:beforeAutospacing="0" w:after="0" w:afterAutospacing="0" w:line="360" w:lineRule="auto"/>
        <w:ind w:left="1417"/>
        <w:jc w:val="both"/>
        <w:rPr>
          <w:rFonts w:ascii="David" w:hAnsi="David" w:cs="David"/>
          <w:b/>
          <w:bCs/>
          <w:rtl/>
        </w:rPr>
      </w:pPr>
      <w:r>
        <w:rPr>
          <w:rStyle w:val="default"/>
          <w:rFonts w:ascii="David" w:hAnsi="David" w:cs="David"/>
          <w:b/>
          <w:bCs/>
          <w:rtl/>
        </w:rPr>
        <w:t>(2)</w:t>
      </w:r>
      <w:r w:rsidR="007E07D4">
        <w:rPr>
          <w:rStyle w:val="default"/>
          <w:rFonts w:ascii="David" w:hAnsi="David" w:cs="David"/>
          <w:b/>
          <w:bCs/>
          <w:rtl/>
        </w:rPr>
        <w:t xml:space="preserve">  </w:t>
      </w:r>
      <w:r>
        <w:rPr>
          <w:rStyle w:val="default"/>
          <w:rFonts w:ascii="David" w:hAnsi="David" w:cs="David"/>
          <w:b/>
          <w:bCs/>
          <w:rtl/>
        </w:rPr>
        <w:t xml:space="preserve"> המוכר מסר הצהרה בלתי נכונה שהיה בה כדי לשנות את סכום המס או למנוע תשלום מס;</w:t>
      </w:r>
    </w:p>
    <w:p w14:paraId="060D4979" w14:textId="77777777" w:rsidR="009A6074" w:rsidRDefault="00000000" w:rsidP="007F2201">
      <w:pPr>
        <w:pStyle w:val="p22"/>
        <w:bidi/>
        <w:spacing w:before="0" w:beforeAutospacing="0" w:after="0" w:afterAutospacing="0" w:line="360" w:lineRule="auto"/>
        <w:ind w:left="1417"/>
        <w:jc w:val="both"/>
        <w:rPr>
          <w:rFonts w:ascii="David" w:hAnsi="David" w:cs="David"/>
          <w:rtl/>
        </w:rPr>
      </w:pPr>
      <w:r>
        <w:rPr>
          <w:rStyle w:val="default"/>
          <w:rFonts w:ascii="David" w:hAnsi="David" w:cs="David"/>
          <w:b/>
          <w:bCs/>
          <w:rtl/>
        </w:rPr>
        <w:t xml:space="preserve"> (3)</w:t>
      </w:r>
      <w:r w:rsidR="007E07D4">
        <w:rPr>
          <w:rStyle w:val="default"/>
          <w:rFonts w:ascii="David" w:hAnsi="David" w:cs="David"/>
          <w:b/>
          <w:bCs/>
          <w:rtl/>
        </w:rPr>
        <w:t xml:space="preserve">  </w:t>
      </w:r>
      <w:r>
        <w:rPr>
          <w:rStyle w:val="default"/>
          <w:rFonts w:ascii="David" w:hAnsi="David" w:cs="David"/>
          <w:b/>
          <w:bCs/>
          <w:rtl/>
        </w:rPr>
        <w:t xml:space="preserve"> נתגלתה טעות בשומה</w:t>
      </w:r>
      <w:r>
        <w:rPr>
          <w:rStyle w:val="default"/>
          <w:rFonts w:ascii="David" w:hAnsi="David" w:cs="David"/>
          <w:rtl/>
        </w:rPr>
        <w:t>.</w:t>
      </w:r>
      <w:r>
        <w:rPr>
          <w:rFonts w:ascii="David" w:hAnsi="David" w:cs="David"/>
          <w:rtl/>
        </w:rPr>
        <w:t>"</w:t>
      </w:r>
    </w:p>
    <w:p w14:paraId="46C86D51" w14:textId="77777777" w:rsidR="009A6074" w:rsidRDefault="009A6074" w:rsidP="007F2201">
      <w:pPr>
        <w:pStyle w:val="p22"/>
        <w:bidi/>
        <w:spacing w:before="0" w:beforeAutospacing="0" w:after="0" w:afterAutospacing="0" w:line="360" w:lineRule="auto"/>
        <w:jc w:val="both"/>
        <w:rPr>
          <w:rFonts w:ascii="David" w:hAnsi="David" w:cs="David"/>
          <w:rtl/>
        </w:rPr>
      </w:pPr>
    </w:p>
    <w:p w14:paraId="12168569" w14:textId="77777777" w:rsidR="009A6074" w:rsidRDefault="00000000" w:rsidP="00D22817">
      <w:pPr>
        <w:pStyle w:val="p22"/>
        <w:numPr>
          <w:ilvl w:val="0"/>
          <w:numId w:val="1"/>
        </w:numPr>
        <w:bidi/>
        <w:spacing w:before="0" w:beforeAutospacing="0" w:after="0" w:afterAutospacing="0" w:line="360" w:lineRule="auto"/>
        <w:jc w:val="both"/>
        <w:rPr>
          <w:rStyle w:val="default"/>
        </w:rPr>
      </w:pPr>
      <w:r>
        <w:rPr>
          <w:rFonts w:ascii="David" w:hAnsi="David" w:cs="David"/>
          <w:spacing w:val="10"/>
          <w:rtl/>
        </w:rPr>
        <w:t>בשל העובדה כי תיקון השומה פוגע בסופיות השומה ולעתים אף בעיקרון הסתמכות הנישום, קבע המחוקק שלוש עילות לתיקון שומה ואף הוסיף מגבלת זמן. יצוין, כי</w:t>
      </w:r>
      <w:r>
        <w:rPr>
          <w:rStyle w:val="default"/>
          <w:rFonts w:ascii="David" w:hAnsi="David" w:cs="David"/>
          <w:spacing w:val="10"/>
          <w:rtl/>
        </w:rPr>
        <w:t xml:space="preserve"> ניתן להאריך את תקופת ארבע השנים תוך שימוש </w:t>
      </w:r>
      <w:hyperlink r:id="rId31" w:history="1">
        <w:r w:rsidR="00E32C0E" w:rsidRPr="00E32C0E">
          <w:rPr>
            <w:rStyle w:val="Hyperlink"/>
            <w:rFonts w:ascii="David" w:hAnsi="David" w:cs="David"/>
            <w:spacing w:val="10"/>
            <w:rtl/>
          </w:rPr>
          <w:t>בסעיף 107</w:t>
        </w:r>
      </w:hyperlink>
      <w:r>
        <w:rPr>
          <w:rStyle w:val="default"/>
          <w:rFonts w:ascii="David" w:hAnsi="David" w:cs="David"/>
          <w:spacing w:val="10"/>
          <w:rtl/>
        </w:rPr>
        <w:t xml:space="preserve"> לחוק, אולם הדבר נעשה במקרים יוצאי דופן. כמו כן,</w:t>
      </w:r>
      <w:r>
        <w:rPr>
          <w:rStyle w:val="default"/>
          <w:rFonts w:ascii="David" w:hAnsi="David" w:cs="David"/>
          <w:rtl/>
        </w:rPr>
        <w:t xml:space="preserve"> נטל ההוכחה שהתמלאו התנאים לשימוש </w:t>
      </w:r>
      <w:hyperlink r:id="rId32" w:history="1">
        <w:r w:rsidR="00E32C0E" w:rsidRPr="00E32C0E">
          <w:rPr>
            <w:rStyle w:val="Hyperlink"/>
            <w:rFonts w:ascii="David" w:hAnsi="David" w:cs="David"/>
            <w:rtl/>
          </w:rPr>
          <w:t>בסעיף 85</w:t>
        </w:r>
      </w:hyperlink>
      <w:r>
        <w:rPr>
          <w:rStyle w:val="default"/>
          <w:rFonts w:ascii="David" w:hAnsi="David" w:cs="David"/>
          <w:rtl/>
        </w:rPr>
        <w:t xml:space="preserve"> מוטל על היוזם את השימוש בסעיף</w:t>
      </w:r>
      <w:r>
        <w:rPr>
          <w:rStyle w:val="default"/>
          <w:rFonts w:ascii="David" w:hAnsi="David" w:cs="David"/>
          <w:spacing w:val="10"/>
          <w:rtl/>
        </w:rPr>
        <w:t xml:space="preserve"> (הדרי, מס שבח ומקרקעין, עמוד 173).</w:t>
      </w:r>
    </w:p>
    <w:p w14:paraId="0508BD7A" w14:textId="77777777" w:rsidR="009A6074" w:rsidRDefault="009A6074" w:rsidP="007F2201">
      <w:pPr>
        <w:pStyle w:val="p22"/>
        <w:bidi/>
        <w:spacing w:before="0" w:beforeAutospacing="0" w:after="0" w:afterAutospacing="0" w:line="360" w:lineRule="auto"/>
        <w:ind w:left="720"/>
        <w:jc w:val="both"/>
        <w:rPr>
          <w:rStyle w:val="default"/>
          <w:rFonts w:ascii="David" w:hAnsi="David" w:cs="David"/>
        </w:rPr>
      </w:pPr>
    </w:p>
    <w:p w14:paraId="3B59AADE" w14:textId="77777777" w:rsidR="009A6074" w:rsidRDefault="00E32C0E" w:rsidP="008928DA">
      <w:pPr>
        <w:pStyle w:val="p22"/>
        <w:numPr>
          <w:ilvl w:val="0"/>
          <w:numId w:val="1"/>
        </w:numPr>
        <w:bidi/>
        <w:spacing w:before="0" w:beforeAutospacing="0" w:after="0" w:afterAutospacing="0" w:line="360" w:lineRule="auto"/>
        <w:jc w:val="both"/>
        <w:rPr>
          <w:rStyle w:val="default"/>
          <w:spacing w:val="10"/>
          <w:shd w:val="clear" w:color="auto" w:fill="FFFFFF"/>
        </w:rPr>
      </w:pPr>
      <w:hyperlink r:id="rId33" w:history="1">
        <w:r w:rsidRPr="00E32C0E">
          <w:rPr>
            <w:rStyle w:val="Hyperlink"/>
            <w:rFonts w:ascii="David" w:hAnsi="David" w:cs="David"/>
            <w:spacing w:val="10"/>
            <w:rtl/>
          </w:rPr>
          <w:t>סעיף 85(3)</w:t>
        </w:r>
      </w:hyperlink>
      <w:r w:rsidR="00000000">
        <w:rPr>
          <w:rFonts w:ascii="David" w:hAnsi="David" w:cs="David"/>
          <w:spacing w:val="10"/>
          <w:rtl/>
        </w:rPr>
        <w:t xml:space="preserve"> לחוק, הרלבנטי בענייננו, מסמיך את המנהל לתקן שומה, </w:t>
      </w:r>
      <w:r w:rsidR="00000000">
        <w:rPr>
          <w:rStyle w:val="default"/>
          <w:rFonts w:ascii="David" w:hAnsi="David" w:cs="David"/>
          <w:spacing w:val="10"/>
          <w:rtl/>
        </w:rPr>
        <w:t>בין ביוזמתו ובין ביוזמת הנישום,</w:t>
      </w:r>
      <w:r w:rsidR="00000000">
        <w:rPr>
          <w:rFonts w:ascii="David" w:hAnsi="David" w:cs="David"/>
          <w:spacing w:val="10"/>
          <w:rtl/>
        </w:rPr>
        <w:t xml:space="preserve"> בתוך ארבע שנים, אם</w:t>
      </w:r>
      <w:r w:rsidR="007E07D4">
        <w:rPr>
          <w:rFonts w:ascii="David" w:hAnsi="David" w:cs="David"/>
          <w:spacing w:val="10"/>
          <w:rtl/>
        </w:rPr>
        <w:t xml:space="preserve"> </w:t>
      </w:r>
      <w:r w:rsidR="00000000">
        <w:rPr>
          <w:rFonts w:ascii="David" w:hAnsi="David" w:cs="David"/>
          <w:spacing w:val="10"/>
        </w:rPr>
        <w:t>"</w:t>
      </w:r>
      <w:r w:rsidR="00000000">
        <w:rPr>
          <w:rStyle w:val="default"/>
          <w:rFonts w:ascii="David" w:hAnsi="David" w:cs="David"/>
          <w:b/>
          <w:bCs/>
          <w:spacing w:val="10"/>
          <w:rtl/>
        </w:rPr>
        <w:t>נתגלתה טעות בשומה</w:t>
      </w:r>
      <w:r w:rsidR="00000000">
        <w:rPr>
          <w:rStyle w:val="default"/>
          <w:rFonts w:ascii="David" w:hAnsi="David" w:cs="David"/>
          <w:spacing w:val="10"/>
          <w:rtl/>
        </w:rPr>
        <w:t xml:space="preserve">". </w:t>
      </w:r>
      <w:r w:rsidR="00000000">
        <w:rPr>
          <w:rStyle w:val="default"/>
          <w:rFonts w:ascii="David" w:hAnsi="David" w:cs="David"/>
          <w:rtl/>
        </w:rPr>
        <w:t>ביחס לעילות התיקון, כתב פרופ' י. הדרי את הדברים הבאים:</w:t>
      </w:r>
    </w:p>
    <w:p w14:paraId="79FCCD4D" w14:textId="77777777" w:rsidR="009A6074" w:rsidRPr="00D22817" w:rsidRDefault="009A6074" w:rsidP="00D22817">
      <w:pPr>
        <w:spacing w:line="360" w:lineRule="auto"/>
        <w:ind w:left="360"/>
        <w:jc w:val="both"/>
        <w:rPr>
          <w:rStyle w:val="default"/>
          <w:rFonts w:cs="David"/>
          <w:spacing w:val="10"/>
          <w:shd w:val="clear" w:color="auto" w:fill="FFFFFF"/>
        </w:rPr>
      </w:pPr>
    </w:p>
    <w:p w14:paraId="725D0E30" w14:textId="77777777" w:rsidR="009A6074" w:rsidRDefault="00000000" w:rsidP="007F2201">
      <w:pPr>
        <w:pStyle w:val="p22"/>
        <w:bidi/>
        <w:spacing w:before="0" w:beforeAutospacing="0" w:after="0" w:afterAutospacing="0" w:line="360" w:lineRule="auto"/>
        <w:ind w:left="1417"/>
        <w:jc w:val="both"/>
        <w:rPr>
          <w:rStyle w:val="default"/>
          <w:rFonts w:ascii="David" w:hAnsi="David" w:cs="David"/>
          <w:b/>
          <w:bCs/>
          <w:spacing w:val="10"/>
          <w:shd w:val="clear" w:color="auto" w:fill="FFFFFF"/>
          <w:rtl/>
        </w:rPr>
      </w:pPr>
      <w:r>
        <w:rPr>
          <w:rStyle w:val="default"/>
          <w:rFonts w:ascii="David" w:hAnsi="David" w:cs="David"/>
          <w:spacing w:val="10"/>
          <w:shd w:val="clear" w:color="auto" w:fill="FFFFFF"/>
          <w:rtl/>
        </w:rPr>
        <w:t>"</w:t>
      </w:r>
      <w:r>
        <w:rPr>
          <w:rStyle w:val="default"/>
          <w:rFonts w:ascii="David" w:hAnsi="David" w:cs="David"/>
          <w:b/>
          <w:bCs/>
          <w:spacing w:val="10"/>
          <w:shd w:val="clear" w:color="auto" w:fill="FFFFFF"/>
          <w:rtl/>
        </w:rPr>
        <w:t>הדעה השלטת היא, שלהבדיל מתיקון שומה זמנית בעת הוצאת השומה הסופית, לפי סעיף 78 לחוק מס שבח, שם אין המנהל מוגבל בטעמי התיקון, הרי שבהשתמשו בסמכויותיו לפי סעיף 85 לחוק, מוגבל המנהל לעילות הסעיף, אם כי הן הורחבו ביותר, כפי שנווכח להלן.</w:t>
      </w:r>
    </w:p>
    <w:p w14:paraId="76F63428" w14:textId="77777777" w:rsidR="009A6074" w:rsidRDefault="00000000" w:rsidP="007F2201">
      <w:pPr>
        <w:pStyle w:val="p22"/>
        <w:bidi/>
        <w:spacing w:before="0" w:beforeAutospacing="0" w:after="0" w:afterAutospacing="0" w:line="360" w:lineRule="auto"/>
        <w:ind w:left="1417"/>
        <w:jc w:val="both"/>
        <w:rPr>
          <w:rStyle w:val="default"/>
          <w:rFonts w:ascii="David" w:hAnsi="David" w:cs="David"/>
          <w:spacing w:val="10"/>
          <w:shd w:val="clear" w:color="auto" w:fill="FFFFFF"/>
          <w:rtl/>
        </w:rPr>
      </w:pPr>
      <w:r>
        <w:rPr>
          <w:rStyle w:val="default"/>
          <w:rFonts w:ascii="David" w:hAnsi="David" w:cs="David"/>
          <w:b/>
          <w:bCs/>
          <w:spacing w:val="10"/>
          <w:u w:val="single"/>
          <w:shd w:val="clear" w:color="auto" w:fill="FFFFFF"/>
          <w:rtl/>
        </w:rPr>
        <w:t>סעיף 85(3) לחוק מס שבח תוקן בתיקון עקיף, בתיקון 71 ל</w:t>
      </w:r>
      <w:hyperlink r:id="rId34" w:history="1">
        <w:r w:rsidR="00E32C0E" w:rsidRPr="00E32C0E">
          <w:rPr>
            <w:rStyle w:val="Hyperlink"/>
            <w:rFonts w:ascii="David" w:hAnsi="David" w:cs="David"/>
            <w:b/>
            <w:bCs/>
            <w:spacing w:val="10"/>
            <w:shd w:val="clear" w:color="auto" w:fill="FFFFFF"/>
            <w:rtl/>
          </w:rPr>
          <w:t>פקודת מס הכנסה</w:t>
        </w:r>
      </w:hyperlink>
      <w:r>
        <w:rPr>
          <w:rStyle w:val="default"/>
          <w:rFonts w:ascii="David" w:hAnsi="David" w:cs="David"/>
          <w:b/>
          <w:bCs/>
          <w:spacing w:val="10"/>
          <w:u w:val="single"/>
          <w:shd w:val="clear" w:color="auto" w:fill="FFFFFF"/>
          <w:rtl/>
        </w:rPr>
        <w:t>, ב-1986, והעילה השלישית, שהוגבלה למקרים ש"נתגלתה טעות סופר בשומה" הורחבה לכל מקרה של "טעות בשומה"</w:t>
      </w:r>
      <w:r>
        <w:rPr>
          <w:rStyle w:val="default"/>
          <w:rFonts w:ascii="David" w:hAnsi="David" w:cs="David"/>
          <w:spacing w:val="10"/>
          <w:shd w:val="clear" w:color="auto" w:fill="FFFFFF"/>
          <w:rtl/>
        </w:rPr>
        <w:t>."</w:t>
      </w:r>
      <w:r>
        <w:rPr>
          <w:rStyle w:val="default"/>
          <w:rFonts w:ascii="David" w:hAnsi="David" w:cs="David"/>
          <w:b/>
          <w:bCs/>
          <w:spacing w:val="10"/>
          <w:shd w:val="clear" w:color="auto" w:fill="FFFFFF"/>
          <w:rtl/>
        </w:rPr>
        <w:t xml:space="preserve"> </w:t>
      </w:r>
      <w:r>
        <w:rPr>
          <w:rStyle w:val="default"/>
          <w:rFonts w:ascii="David" w:hAnsi="David" w:cs="David"/>
          <w:spacing w:val="10"/>
          <w:shd w:val="clear" w:color="auto" w:fill="FFFFFF"/>
          <w:rtl/>
        </w:rPr>
        <w:t>(שם, עמוד 177, ההדגשות אינן במקור).</w:t>
      </w:r>
    </w:p>
    <w:p w14:paraId="5E3BD1F3" w14:textId="77777777" w:rsidR="009A6074" w:rsidRDefault="009A6074" w:rsidP="007F2201">
      <w:pPr>
        <w:pStyle w:val="p22"/>
        <w:bidi/>
        <w:spacing w:before="0" w:beforeAutospacing="0" w:after="0" w:afterAutospacing="0" w:line="360" w:lineRule="auto"/>
        <w:ind w:left="1417"/>
        <w:jc w:val="both"/>
        <w:rPr>
          <w:rStyle w:val="default"/>
          <w:rFonts w:ascii="David" w:hAnsi="David" w:cs="David"/>
          <w:spacing w:val="10"/>
          <w:shd w:val="clear" w:color="auto" w:fill="FFFFFF"/>
          <w:rtl/>
        </w:rPr>
      </w:pPr>
    </w:p>
    <w:p w14:paraId="37F23503" w14:textId="77777777" w:rsidR="009A6074" w:rsidRDefault="00000000" w:rsidP="00644618">
      <w:pPr>
        <w:pStyle w:val="p22"/>
        <w:numPr>
          <w:ilvl w:val="0"/>
          <w:numId w:val="1"/>
        </w:numPr>
        <w:bidi/>
        <w:spacing w:before="0" w:beforeAutospacing="0" w:after="0" w:afterAutospacing="0" w:line="360" w:lineRule="auto"/>
        <w:jc w:val="both"/>
        <w:rPr>
          <w:rStyle w:val="default"/>
          <w:rFonts w:ascii="David" w:hAnsi="David" w:cs="David"/>
          <w:spacing w:val="10"/>
          <w:shd w:val="clear" w:color="auto" w:fill="FFFFFF"/>
        </w:rPr>
      </w:pPr>
      <w:r>
        <w:rPr>
          <w:rStyle w:val="default"/>
          <w:rFonts w:ascii="David" w:hAnsi="David" w:cs="David"/>
          <w:spacing w:val="10"/>
          <w:shd w:val="clear" w:color="auto" w:fill="FFFFFF"/>
          <w:rtl/>
        </w:rPr>
        <w:t>מטרת הסעיף היא לגבות מס אמת, ותיקון השומה נערך משום שהשומה טרם התיקון נערכה באופן שגוי.</w:t>
      </w:r>
      <w:r>
        <w:rPr>
          <w:rStyle w:val="default"/>
          <w:rFonts w:ascii="David" w:hAnsi="David" w:cs="David"/>
          <w:rtl/>
        </w:rPr>
        <w:t xml:space="preserve"> </w:t>
      </w:r>
      <w:r>
        <w:rPr>
          <w:rStyle w:val="default"/>
          <w:rFonts w:ascii="David" w:hAnsi="David" w:cs="David"/>
          <w:spacing w:val="10"/>
          <w:shd w:val="clear" w:color="auto" w:fill="FFFFFF"/>
          <w:rtl/>
        </w:rPr>
        <w:t xml:space="preserve">בתי המשפט קבעו כי הן טעות משפטית והן טעות עובדתית יהוו עילה לפתיחת שומה, אך לא הלכה חדשה שניתנה על ידי בית המשפט אשר לא הייתה תקפה במועד עשיית השומה. לעומת זאת, בתי המשפט לא התירו לתקן שומה כתוצאה מטעות סובייקטיבית של הנישום (שם, עמוד 178; פרופ' אהרון נמדר, </w:t>
      </w:r>
      <w:r>
        <w:rPr>
          <w:rStyle w:val="default"/>
          <w:rFonts w:ascii="David" w:hAnsi="David" w:cs="David"/>
          <w:b/>
          <w:bCs/>
          <w:spacing w:val="10"/>
          <w:shd w:val="clear" w:color="auto" w:fill="FFFFFF"/>
          <w:rtl/>
        </w:rPr>
        <w:t>מיסוי מקרקעין חישוב המס ותשלומו</w:t>
      </w:r>
      <w:r>
        <w:rPr>
          <w:rStyle w:val="default"/>
          <w:rFonts w:ascii="David" w:hAnsi="David" w:cs="David"/>
          <w:spacing w:val="10"/>
          <w:shd w:val="clear" w:color="auto" w:fill="FFFFFF"/>
          <w:rtl/>
        </w:rPr>
        <w:t>, חלק רביעי, עמודים 527 ו-541 (להלן: "</w:t>
      </w:r>
      <w:r>
        <w:rPr>
          <w:rStyle w:val="default"/>
          <w:rFonts w:ascii="David" w:hAnsi="David" w:cs="David"/>
          <w:b/>
          <w:bCs/>
          <w:spacing w:val="10"/>
          <w:shd w:val="clear" w:color="auto" w:fill="FFFFFF"/>
          <w:rtl/>
        </w:rPr>
        <w:t>נמדר, מיסוי מקרקעין</w:t>
      </w:r>
      <w:r>
        <w:rPr>
          <w:rStyle w:val="default"/>
          <w:rFonts w:ascii="David" w:hAnsi="David" w:cs="David"/>
          <w:spacing w:val="10"/>
          <w:shd w:val="clear" w:color="auto" w:fill="FFFFFF"/>
          <w:rtl/>
        </w:rPr>
        <w:t xml:space="preserve">")). </w:t>
      </w:r>
    </w:p>
    <w:p w14:paraId="61E896D8" w14:textId="77777777" w:rsidR="009A6074" w:rsidRPr="00644618" w:rsidRDefault="009A6074" w:rsidP="007F2201">
      <w:pPr>
        <w:pStyle w:val="p22"/>
        <w:bidi/>
        <w:spacing w:before="0" w:beforeAutospacing="0" w:after="0" w:afterAutospacing="0" w:line="360" w:lineRule="auto"/>
        <w:ind w:left="720"/>
        <w:jc w:val="both"/>
        <w:rPr>
          <w:rStyle w:val="default"/>
          <w:rFonts w:ascii="David" w:hAnsi="David" w:cs="David"/>
        </w:rPr>
      </w:pPr>
    </w:p>
    <w:p w14:paraId="32EFC5BE" w14:textId="77777777" w:rsidR="009A6074" w:rsidRDefault="00000000" w:rsidP="00644618">
      <w:pPr>
        <w:pStyle w:val="p22"/>
        <w:numPr>
          <w:ilvl w:val="0"/>
          <w:numId w:val="1"/>
        </w:numPr>
        <w:bidi/>
        <w:spacing w:before="0" w:beforeAutospacing="0" w:after="0" w:afterAutospacing="0" w:line="360" w:lineRule="auto"/>
        <w:jc w:val="both"/>
        <w:rPr>
          <w:rStyle w:val="default"/>
          <w:rFonts w:ascii="David" w:hAnsi="David" w:cs="David"/>
          <w:spacing w:val="10"/>
          <w:shd w:val="clear" w:color="auto" w:fill="FFFFFF"/>
        </w:rPr>
      </w:pPr>
      <w:r>
        <w:rPr>
          <w:rStyle w:val="default"/>
          <w:rFonts w:ascii="David" w:hAnsi="David" w:cs="David"/>
          <w:spacing w:val="10"/>
          <w:rtl/>
        </w:rPr>
        <w:t>מבחינת השיקולים שעל המנהל להביא בחשבון ומרחב שיקול הדעת הנתון לו, דומים הכללים החלים בעת הפעלת הסמכות הקבועה</w:t>
      </w:r>
      <w:r w:rsidR="007E07D4">
        <w:rPr>
          <w:rStyle w:val="default"/>
          <w:rFonts w:ascii="David" w:hAnsi="David" w:cs="David"/>
          <w:spacing w:val="10"/>
          <w:rtl/>
        </w:rPr>
        <w:t xml:space="preserve"> </w:t>
      </w:r>
      <w:hyperlink r:id="rId35" w:history="1">
        <w:r w:rsidR="00E32C0E" w:rsidRPr="00E32C0E">
          <w:rPr>
            <w:rStyle w:val="Hyperlink"/>
            <w:rFonts w:ascii="David" w:hAnsi="David" w:cs="David"/>
            <w:spacing w:val="10"/>
            <w:rtl/>
          </w:rPr>
          <w:t>בסעיף 85(3)</w:t>
        </w:r>
      </w:hyperlink>
      <w:r>
        <w:rPr>
          <w:rStyle w:val="default"/>
          <w:rFonts w:ascii="David" w:hAnsi="David" w:cs="David"/>
          <w:spacing w:val="10"/>
          <w:rtl/>
        </w:rPr>
        <w:t xml:space="preserve"> לחוק </w:t>
      </w:r>
      <w:r>
        <w:rPr>
          <w:rStyle w:val="default"/>
          <w:rFonts w:ascii="David" w:hAnsi="David" w:cs="David"/>
          <w:rtl/>
        </w:rPr>
        <w:t>לאלו החלים שעה שמופעלת הסמכות הכללית הנתונה לרשות מנהלית לשנות את החלטתה (</w:t>
      </w:r>
      <w:hyperlink r:id="rId36" w:history="1">
        <w:r w:rsidR="00E32C0E" w:rsidRPr="00E32C0E">
          <w:rPr>
            <w:rStyle w:val="Hyperlink"/>
            <w:rFonts w:ascii="David" w:hAnsi="David" w:cs="David"/>
            <w:rtl/>
          </w:rPr>
          <w:t>ע"א 736/87</w:t>
        </w:r>
      </w:hyperlink>
      <w:r w:rsidRPr="00984C06">
        <w:rPr>
          <w:rStyle w:val="default"/>
          <w:rFonts w:ascii="David" w:hAnsi="David" w:cs="David"/>
          <w:color w:val="000000"/>
          <w:rtl/>
        </w:rPr>
        <w:t xml:space="preserve"> </w:t>
      </w:r>
      <w:r w:rsidRPr="00984C06">
        <w:rPr>
          <w:rStyle w:val="default"/>
          <w:rFonts w:ascii="David" w:hAnsi="David" w:cs="David"/>
          <w:b/>
          <w:bCs/>
          <w:color w:val="000000"/>
          <w:rtl/>
        </w:rPr>
        <w:t>יעקובוביץ</w:t>
      </w:r>
      <w:r w:rsidRPr="00984C06">
        <w:rPr>
          <w:rStyle w:val="default"/>
          <w:rFonts w:ascii="David" w:hAnsi="David" w:cs="David"/>
          <w:color w:val="000000"/>
          <w:rtl/>
        </w:rPr>
        <w:t xml:space="preserve"> נ' </w:t>
      </w:r>
      <w:r w:rsidRPr="00984C06">
        <w:rPr>
          <w:rStyle w:val="default"/>
          <w:rFonts w:ascii="David" w:hAnsi="David" w:cs="David"/>
          <w:b/>
          <w:bCs/>
          <w:color w:val="000000"/>
          <w:rtl/>
        </w:rPr>
        <w:t>מנהל מס שבח מקרקעין נצרת</w:t>
      </w:r>
      <w:r w:rsidRPr="00984C06">
        <w:rPr>
          <w:rStyle w:val="default"/>
          <w:rFonts w:ascii="David" w:hAnsi="David" w:cs="David"/>
          <w:color w:val="000000"/>
          <w:rtl/>
        </w:rPr>
        <w:t>, פ"ד מה</w:t>
      </w:r>
      <w:r>
        <w:rPr>
          <w:rStyle w:val="default"/>
          <w:rFonts w:ascii="David" w:hAnsi="David" w:cs="David"/>
        </w:rPr>
        <w:t xml:space="preserve"> ,(1991) 365</w:t>
      </w:r>
      <w:r>
        <w:rPr>
          <w:rStyle w:val="default"/>
          <w:rFonts w:ascii="David" w:hAnsi="David" w:cs="David"/>
          <w:spacing w:val="10"/>
          <w:shd w:val="clear" w:color="auto" w:fill="FFFFFF"/>
        </w:rPr>
        <w:t xml:space="preserve"> </w:t>
      </w:r>
      <w:r>
        <w:rPr>
          <w:rStyle w:val="default"/>
          <w:rFonts w:ascii="David" w:hAnsi="David" w:cs="David"/>
          <w:spacing w:val="10"/>
          <w:shd w:val="clear" w:color="auto" w:fill="FFFFFF"/>
          <w:rtl/>
        </w:rPr>
        <w:t>(להלן: "</w:t>
      </w:r>
      <w:r>
        <w:rPr>
          <w:rStyle w:val="default"/>
          <w:rFonts w:ascii="David" w:hAnsi="David" w:cs="David"/>
          <w:b/>
          <w:bCs/>
          <w:spacing w:val="10"/>
          <w:shd w:val="clear" w:color="auto" w:fill="FFFFFF"/>
          <w:rtl/>
        </w:rPr>
        <w:t>עניין יעקובוביץ</w:t>
      </w:r>
      <w:r>
        <w:rPr>
          <w:rStyle w:val="default"/>
          <w:rFonts w:ascii="David" w:hAnsi="David" w:cs="David"/>
          <w:spacing w:val="10"/>
          <w:shd w:val="clear" w:color="auto" w:fill="FFFFFF"/>
          <w:rtl/>
        </w:rPr>
        <w:t xml:space="preserve">")). ביחס לשיקולים והאיזונים בהפעלת </w:t>
      </w:r>
      <w:hyperlink r:id="rId37" w:history="1">
        <w:r w:rsidR="00E32C0E" w:rsidRPr="00E32C0E">
          <w:rPr>
            <w:rStyle w:val="Hyperlink"/>
            <w:rFonts w:ascii="David" w:hAnsi="David" w:cs="David"/>
            <w:spacing w:val="10"/>
            <w:shd w:val="clear" w:color="auto" w:fill="FFFFFF"/>
            <w:rtl/>
          </w:rPr>
          <w:t>סעיף 85</w:t>
        </w:r>
      </w:hyperlink>
      <w:r>
        <w:rPr>
          <w:rStyle w:val="default"/>
          <w:rFonts w:ascii="David" w:hAnsi="David" w:cs="David"/>
          <w:spacing w:val="10"/>
          <w:shd w:val="clear" w:color="auto" w:fill="FFFFFF"/>
          <w:rtl/>
        </w:rPr>
        <w:t>, כתב פרופ' אהרון נמדר את הדברים הבאים:</w:t>
      </w:r>
    </w:p>
    <w:p w14:paraId="3381EBBB" w14:textId="77777777" w:rsidR="009A6074" w:rsidRDefault="009A6074" w:rsidP="007F2201">
      <w:pPr>
        <w:pStyle w:val="11"/>
        <w:spacing w:line="360" w:lineRule="auto"/>
        <w:jc w:val="both"/>
        <w:rPr>
          <w:rStyle w:val="default"/>
          <w:rFonts w:ascii="David" w:hAnsi="David" w:cs="David"/>
          <w:spacing w:val="10"/>
          <w:sz w:val="24"/>
          <w:szCs w:val="24"/>
          <w:shd w:val="clear" w:color="auto" w:fill="FFFFFF"/>
        </w:rPr>
      </w:pPr>
    </w:p>
    <w:p w14:paraId="1A3D3961" w14:textId="77777777" w:rsidR="009A6074" w:rsidRDefault="00000000" w:rsidP="007F2201">
      <w:pPr>
        <w:pStyle w:val="11"/>
        <w:spacing w:after="0" w:line="360" w:lineRule="auto"/>
        <w:ind w:left="1417"/>
        <w:jc w:val="both"/>
        <w:rPr>
          <w:rStyle w:val="default"/>
          <w:rFonts w:ascii="David" w:hAnsi="David" w:cs="David"/>
          <w:spacing w:val="10"/>
          <w:sz w:val="24"/>
          <w:szCs w:val="24"/>
          <w:shd w:val="clear" w:color="auto" w:fill="FFFFFF"/>
          <w:rtl/>
        </w:rPr>
      </w:pPr>
      <w:r>
        <w:rPr>
          <w:rStyle w:val="default"/>
          <w:rFonts w:ascii="David" w:hAnsi="David" w:cs="David"/>
          <w:spacing w:val="10"/>
          <w:sz w:val="24"/>
          <w:szCs w:val="24"/>
          <w:shd w:val="clear" w:color="auto" w:fill="FFFFFF"/>
          <w:rtl/>
        </w:rPr>
        <w:t>"</w:t>
      </w:r>
      <w:r>
        <w:rPr>
          <w:rStyle w:val="default"/>
          <w:rFonts w:ascii="David" w:hAnsi="David" w:cs="David"/>
          <w:b/>
          <w:bCs/>
          <w:spacing w:val="10"/>
          <w:sz w:val="24"/>
          <w:szCs w:val="24"/>
          <w:u w:val="single"/>
          <w:shd w:val="clear" w:color="auto" w:fill="FFFFFF"/>
          <w:rtl/>
        </w:rPr>
        <w:t>על המנהל לשמור על הזכויות של הפרט שנתגבשו עקב קבלת החלטתו, אך בד בבד לשמור גם על זכות הציבור לגבות מס אמת.</w:t>
      </w:r>
      <w:r>
        <w:rPr>
          <w:rStyle w:val="default"/>
          <w:rFonts w:ascii="David" w:hAnsi="David" w:cs="David"/>
          <w:b/>
          <w:bCs/>
          <w:spacing w:val="10"/>
          <w:sz w:val="24"/>
          <w:szCs w:val="24"/>
          <w:shd w:val="clear" w:color="auto" w:fill="FFFFFF"/>
          <w:rtl/>
        </w:rPr>
        <w:t xml:space="preserve"> [...] זכותו של הנישום ששומת המנהל לא תתוקן מתגברת יותר כאשר הוא הסתמך על החלטתו השגויה של המנהל ושינה את מצבו לרעה. לעומת זאת, </w:t>
      </w:r>
      <w:r w:rsidRPr="00F84CD2">
        <w:rPr>
          <w:rStyle w:val="default"/>
          <w:rFonts w:ascii="David" w:hAnsi="David" w:cs="David"/>
          <w:b/>
          <w:bCs/>
          <w:spacing w:val="10"/>
          <w:sz w:val="24"/>
          <w:szCs w:val="24"/>
          <w:u w:val="single"/>
          <w:shd w:val="clear" w:color="auto" w:fill="FFFFFF"/>
          <w:rtl/>
        </w:rPr>
        <w:t>השיקול של הגנה על אינטרס הציבורי בגביית מס אמת מתגבר יותר כאשר הטעות של המנהל לא היתה בהפעלת שיקול הדעת אלא בהפעלת סמכות הנוגדת את החוק</w:t>
      </w:r>
      <w:r>
        <w:rPr>
          <w:rStyle w:val="default"/>
          <w:rFonts w:ascii="David" w:hAnsi="David" w:cs="David"/>
          <w:spacing w:val="10"/>
          <w:sz w:val="24"/>
          <w:szCs w:val="24"/>
          <w:shd w:val="clear" w:color="auto" w:fill="FFFFFF"/>
          <w:rtl/>
        </w:rPr>
        <w:t xml:space="preserve">." (נמדר, מיסוי מקרקעין, עמוד 530, ההדגשות אינן במקור). </w:t>
      </w:r>
    </w:p>
    <w:p w14:paraId="39CF0CEA" w14:textId="77777777" w:rsidR="009A6074" w:rsidRDefault="009A6074" w:rsidP="007F2201">
      <w:pPr>
        <w:spacing w:line="360" w:lineRule="auto"/>
        <w:jc w:val="both"/>
        <w:rPr>
          <w:noProof w:val="0"/>
          <w:rtl/>
        </w:rPr>
      </w:pPr>
    </w:p>
    <w:p w14:paraId="572F3C35" w14:textId="77777777" w:rsidR="009A6074" w:rsidRDefault="00000000" w:rsidP="00644618">
      <w:pPr>
        <w:pStyle w:val="11"/>
        <w:numPr>
          <w:ilvl w:val="0"/>
          <w:numId w:val="1"/>
        </w:numPr>
        <w:spacing w:line="360" w:lineRule="auto"/>
        <w:jc w:val="both"/>
        <w:rPr>
          <w:rFonts w:ascii="David" w:hAnsi="David" w:cs="David"/>
          <w:sz w:val="24"/>
          <w:szCs w:val="24"/>
          <w:rtl/>
        </w:rPr>
      </w:pPr>
      <w:r>
        <w:rPr>
          <w:rFonts w:ascii="David" w:hAnsi="David" w:cs="David"/>
          <w:sz w:val="24"/>
          <w:szCs w:val="24"/>
          <w:rtl/>
        </w:rPr>
        <w:t xml:space="preserve">מצוידים בכלים אלו, נבחן עתה את טענות העוררים. </w:t>
      </w:r>
    </w:p>
    <w:p w14:paraId="4A2596DE" w14:textId="77777777" w:rsidR="009A6074" w:rsidRDefault="00000000" w:rsidP="007F2201">
      <w:pPr>
        <w:spacing w:line="360" w:lineRule="auto"/>
        <w:jc w:val="both"/>
        <w:rPr>
          <w:rFonts w:ascii="David" w:hAnsi="David"/>
          <w:u w:val="single"/>
        </w:rPr>
      </w:pPr>
      <w:r>
        <w:rPr>
          <w:rFonts w:ascii="David" w:hAnsi="David"/>
          <w:noProof w:val="0"/>
          <w:u w:val="single"/>
          <w:rtl/>
        </w:rPr>
        <w:t>האם העוררים זכאים להקלה במס רכישה?</w:t>
      </w:r>
    </w:p>
    <w:p w14:paraId="1F19A5C8" w14:textId="77777777" w:rsidR="009A6074" w:rsidRDefault="00000000" w:rsidP="00644618">
      <w:pPr>
        <w:pStyle w:val="11"/>
        <w:numPr>
          <w:ilvl w:val="0"/>
          <w:numId w:val="1"/>
        </w:numPr>
        <w:spacing w:line="360" w:lineRule="auto"/>
        <w:jc w:val="both"/>
        <w:rPr>
          <w:rFonts w:ascii="David" w:hAnsi="David" w:cs="David"/>
          <w:sz w:val="28"/>
          <w:szCs w:val="28"/>
          <w:rtl/>
        </w:rPr>
      </w:pPr>
      <w:r>
        <w:rPr>
          <w:rFonts w:ascii="David" w:hAnsi="David" w:cs="David"/>
          <w:noProof/>
          <w:sz w:val="24"/>
          <w:szCs w:val="24"/>
          <w:rtl/>
        </w:rPr>
        <w:t>לטענת העוררים,</w:t>
      </w:r>
      <w:r>
        <w:rPr>
          <w:rFonts w:ascii="David" w:hAnsi="David" w:cs="David"/>
          <w:sz w:val="24"/>
          <w:szCs w:val="24"/>
          <w:rtl/>
        </w:rPr>
        <w:t xml:space="preserve"> פירוש הוראות תיקון 93 באופן שמגשים את תכלית החקיקה, מעלה שראוי לפרש את המונח "דירה יחידה" בפרשנות הכוללת בתוכה גם "דירה חלופית". דהיינו, לטענתם, הפירוש כולל גם את המצבים המפורטים </w:t>
      </w:r>
      <w:hyperlink r:id="rId38" w:history="1">
        <w:r w:rsidR="00E32C0E" w:rsidRPr="00E32C0E">
          <w:rPr>
            <w:rStyle w:val="Hyperlink"/>
            <w:rFonts w:ascii="David" w:hAnsi="David" w:cs="David"/>
            <w:noProof/>
            <w:sz w:val="24"/>
            <w:szCs w:val="24"/>
            <w:rtl/>
          </w:rPr>
          <w:t>בסעיף 9(ג1ג)(2)(ב).</w:t>
        </w:r>
      </w:hyperlink>
      <w:r>
        <w:rPr>
          <w:rFonts w:ascii="David" w:hAnsi="David" w:cs="David"/>
          <w:noProof/>
          <w:sz w:val="24"/>
          <w:szCs w:val="24"/>
          <w:rtl/>
        </w:rPr>
        <w:t xml:space="preserve"> כך בלשון העוררים, ההטבה בסעיף קבוצת הרכישה תינתן למי ש"</w:t>
      </w:r>
      <w:r w:rsidRPr="00762734">
        <w:rPr>
          <w:rFonts w:ascii="David" w:hAnsi="David" w:cs="David"/>
          <w:b/>
          <w:bCs/>
          <w:noProof/>
          <w:sz w:val="24"/>
          <w:szCs w:val="24"/>
          <w:rtl/>
        </w:rPr>
        <w:t>בעת שרכש את הדירה החלופית, הייתה לו הזכות בקבוצת הרכישה ולא דירה נוספת מעבר לכך</w:t>
      </w:r>
      <w:r>
        <w:rPr>
          <w:rFonts w:ascii="David" w:hAnsi="David" w:cs="David"/>
          <w:noProof/>
          <w:sz w:val="24"/>
          <w:szCs w:val="24"/>
          <w:rtl/>
        </w:rPr>
        <w:t>".</w:t>
      </w:r>
      <w:r>
        <w:rPr>
          <w:rFonts w:ascii="David" w:hAnsi="David" w:cs="David"/>
          <w:sz w:val="24"/>
          <w:szCs w:val="24"/>
          <w:rtl/>
        </w:rPr>
        <w:t xml:space="preserve"> העוררים תומכים עמדתם בכך שבמקומות רבים בהם מזכיר המחוקק דירה יחידה לצורך מס רכישה, הוא כולל גם דירה חלופית ומעניק לה את מדרגות המס המוטבות כדירה יחידה, כאשר התכלית היא להקל על רוכש דירת מגורים יחידה בישראל. </w:t>
      </w:r>
    </w:p>
    <w:p w14:paraId="35F9A90C" w14:textId="77777777" w:rsidR="009A6074" w:rsidRDefault="009A6074" w:rsidP="007F2201">
      <w:pPr>
        <w:pStyle w:val="11"/>
        <w:rPr>
          <w:rFonts w:ascii="David" w:hAnsi="David" w:cs="David"/>
          <w:sz w:val="28"/>
          <w:szCs w:val="28"/>
        </w:rPr>
      </w:pPr>
    </w:p>
    <w:p w14:paraId="45D6FE76" w14:textId="77777777" w:rsidR="009A6074" w:rsidRDefault="00000000" w:rsidP="007F2201">
      <w:pPr>
        <w:pStyle w:val="11"/>
        <w:numPr>
          <w:ilvl w:val="0"/>
          <w:numId w:val="1"/>
        </w:numPr>
        <w:spacing w:line="360" w:lineRule="auto"/>
        <w:jc w:val="both"/>
        <w:rPr>
          <w:rFonts w:ascii="David" w:hAnsi="David" w:cs="David"/>
          <w:sz w:val="24"/>
          <w:szCs w:val="24"/>
          <w:rtl/>
        </w:rPr>
      </w:pPr>
      <w:r>
        <w:rPr>
          <w:rFonts w:ascii="David" w:hAnsi="David" w:cs="David"/>
          <w:sz w:val="24"/>
          <w:szCs w:val="24"/>
          <w:rtl/>
        </w:rPr>
        <w:t>יפים לענייננו קביעות בית המשפט העליון ב</w:t>
      </w:r>
      <w:hyperlink r:id="rId39" w:history="1">
        <w:r w:rsidR="00E32C0E" w:rsidRPr="00E32C0E">
          <w:rPr>
            <w:rStyle w:val="Hyperlink"/>
            <w:rFonts w:ascii="David" w:hAnsi="David" w:cs="David"/>
            <w:sz w:val="24"/>
            <w:szCs w:val="24"/>
            <w:rtl/>
          </w:rPr>
          <w:t>דנ"א 2308/15</w:t>
        </w:r>
      </w:hyperlink>
      <w:r>
        <w:rPr>
          <w:rFonts w:ascii="David" w:hAnsi="David" w:cs="David"/>
          <w:color w:val="000000"/>
          <w:sz w:val="24"/>
          <w:szCs w:val="24"/>
          <w:rtl/>
        </w:rPr>
        <w:t xml:space="preserve"> </w:t>
      </w:r>
      <w:r>
        <w:rPr>
          <w:rFonts w:ascii="David" w:hAnsi="David" w:cs="David"/>
          <w:b/>
          <w:bCs/>
          <w:color w:val="000000"/>
          <w:sz w:val="24"/>
          <w:szCs w:val="24"/>
          <w:rtl/>
        </w:rPr>
        <w:t>פקיד השומה רחובות</w:t>
      </w:r>
      <w:r>
        <w:rPr>
          <w:rFonts w:ascii="David" w:hAnsi="David" w:cs="David"/>
          <w:color w:val="000000"/>
          <w:sz w:val="24"/>
          <w:szCs w:val="24"/>
          <w:rtl/>
        </w:rPr>
        <w:t xml:space="preserve"> נ' </w:t>
      </w:r>
      <w:r>
        <w:rPr>
          <w:rFonts w:ascii="David" w:hAnsi="David" w:cs="David"/>
          <w:b/>
          <w:bCs/>
          <w:color w:val="000000"/>
          <w:sz w:val="24"/>
          <w:szCs w:val="24"/>
          <w:rtl/>
        </w:rPr>
        <w:t>אילנה דמארי</w:t>
      </w:r>
      <w:r>
        <w:rPr>
          <w:rFonts w:ascii="David" w:hAnsi="David" w:cs="David"/>
          <w:color w:val="000000"/>
          <w:sz w:val="24"/>
          <w:szCs w:val="24"/>
          <w:rtl/>
        </w:rPr>
        <w:t xml:space="preserve"> </w:t>
      </w:r>
      <w:r w:rsidR="009F4C88">
        <w:rPr>
          <w:rFonts w:ascii="David" w:hAnsi="David" w:cs="David"/>
          <w:color w:val="000000"/>
          <w:sz w:val="24"/>
          <w:szCs w:val="24"/>
          <w:rtl/>
        </w:rPr>
        <w:t>[נבו]</w:t>
      </w:r>
      <w:r w:rsidR="009F4C88">
        <w:rPr>
          <w:rFonts w:ascii="David" w:hAnsi="David" w:cs="David" w:hint="cs"/>
          <w:color w:val="000000"/>
          <w:sz w:val="24"/>
          <w:szCs w:val="24"/>
          <w:rtl/>
        </w:rPr>
        <w:t xml:space="preserve"> </w:t>
      </w:r>
      <w:r>
        <w:rPr>
          <w:rFonts w:ascii="David" w:hAnsi="David" w:cs="David"/>
          <w:color w:val="000000"/>
          <w:sz w:val="24"/>
          <w:szCs w:val="24"/>
          <w:rtl/>
        </w:rPr>
        <w:t>(12.9.2017)</w:t>
      </w:r>
      <w:r>
        <w:rPr>
          <w:rFonts w:ascii="David" w:hAnsi="David" w:cs="David"/>
          <w:sz w:val="24"/>
          <w:szCs w:val="24"/>
          <w:rtl/>
        </w:rPr>
        <w:t xml:space="preserve"> (להלן: "</w:t>
      </w:r>
      <w:r>
        <w:rPr>
          <w:rFonts w:ascii="David" w:hAnsi="David" w:cs="David"/>
          <w:b/>
          <w:bCs/>
          <w:sz w:val="24"/>
          <w:szCs w:val="24"/>
          <w:rtl/>
        </w:rPr>
        <w:t>עניין דמארי</w:t>
      </w:r>
      <w:r>
        <w:rPr>
          <w:rFonts w:ascii="David" w:hAnsi="David" w:cs="David"/>
          <w:sz w:val="24"/>
          <w:szCs w:val="24"/>
          <w:rtl/>
        </w:rPr>
        <w:t>"), ביחס לכללי הפרשנות החלים על חוקי המס:</w:t>
      </w:r>
    </w:p>
    <w:p w14:paraId="63ECCB2F" w14:textId="77777777" w:rsidR="009A6074" w:rsidRDefault="00000000" w:rsidP="007F2201">
      <w:pPr>
        <w:spacing w:line="360" w:lineRule="auto"/>
        <w:ind w:left="1417"/>
        <w:jc w:val="both"/>
        <w:rPr>
          <w:rFonts w:ascii="David" w:hAnsi="David"/>
          <w:b/>
          <w:bCs/>
        </w:rPr>
      </w:pPr>
      <w:r>
        <w:rPr>
          <w:rFonts w:ascii="David" w:hAnsi="David"/>
          <w:noProof w:val="0"/>
          <w:color w:val="000000"/>
          <w:spacing w:val="10"/>
          <w:shd w:val="clear" w:color="auto" w:fill="FFFFFF"/>
          <w:rtl/>
        </w:rPr>
        <w:t>"</w:t>
      </w:r>
      <w:r>
        <w:rPr>
          <w:rFonts w:ascii="David" w:hAnsi="David"/>
          <w:b/>
          <w:bCs/>
          <w:noProof w:val="0"/>
          <w:color w:val="000000"/>
          <w:spacing w:val="10"/>
          <w:shd w:val="clear" w:color="auto" w:fill="FFFFFF"/>
          <w:rtl/>
        </w:rPr>
        <w:t>21.הכללים הנוגעים לפרשנות חקיקת המס ידועים וברורים. אין לחוקי המס כללי פרשנות אחרים והם יפורשו בהתאם לתורת הפרשנות התכליתית המקובלת בכל ענפי המשפט</w:t>
      </w:r>
      <w:r>
        <w:rPr>
          <w:rFonts w:ascii="David" w:hAnsi="David"/>
          <w:b/>
          <w:bCs/>
          <w:noProof w:val="0"/>
          <w:rtl/>
        </w:rPr>
        <w:t xml:space="preserve"> [...] </w:t>
      </w:r>
      <w:r>
        <w:rPr>
          <w:rFonts w:ascii="David" w:hAnsi="David"/>
          <w:b/>
          <w:bCs/>
          <w:noProof w:val="0"/>
          <w:color w:val="000000"/>
          <w:spacing w:val="10"/>
          <w:shd w:val="clear" w:color="auto" w:fill="FFFFFF"/>
          <w:rtl/>
        </w:rPr>
        <w:t>לפי כללים אלה, הליך הפרשנות הוא דו</w:t>
      </w:r>
      <w:r>
        <w:rPr>
          <w:rFonts w:ascii="David" w:hAnsi="David"/>
          <w:b/>
          <w:bCs/>
          <w:color w:val="000000"/>
          <w:shd w:val="clear" w:color="auto" w:fill="FFFFFF"/>
        </w:rPr>
        <w:t>-</w:t>
      </w:r>
      <w:r>
        <w:rPr>
          <w:rFonts w:ascii="David" w:hAnsi="David"/>
          <w:b/>
          <w:bCs/>
          <w:noProof w:val="0"/>
          <w:color w:val="000000"/>
          <w:spacing w:val="10"/>
          <w:shd w:val="clear" w:color="auto" w:fill="FFFFFF"/>
          <w:rtl/>
        </w:rPr>
        <w:t>שלבי: מאחר ש"גבול הפרשנות הוא גבול הלשון</w:t>
      </w:r>
      <w:r>
        <w:rPr>
          <w:rFonts w:ascii="David" w:hAnsi="David"/>
          <w:b/>
          <w:bCs/>
          <w:color w:val="000000"/>
          <w:spacing w:val="10"/>
          <w:shd w:val="clear" w:color="auto" w:fill="FFFFFF"/>
        </w:rPr>
        <w:t>"</w:t>
      </w:r>
      <w:r>
        <w:rPr>
          <w:rFonts w:ascii="David" w:hAnsi="David"/>
          <w:b/>
          <w:bCs/>
          <w:noProof w:val="0"/>
          <w:rtl/>
        </w:rPr>
        <w:t xml:space="preserve"> [...] </w:t>
      </w:r>
      <w:r>
        <w:rPr>
          <w:rFonts w:ascii="David" w:hAnsi="David"/>
          <w:b/>
          <w:bCs/>
          <w:noProof w:val="0"/>
          <w:color w:val="000000"/>
          <w:spacing w:val="10"/>
          <w:shd w:val="clear" w:color="auto" w:fill="FFFFFF"/>
          <w:rtl/>
        </w:rPr>
        <w:t>יש לאתר תחילה את כל המשמעויות שלשון הטקסט יכולה לאצור, קרי אלה שיש להן נקודת אחיזה – ולוּ מינימאלית – בלשון החקיקה [...] בשלב השני נדרש הפרשן לאתר את תכליותיו של דבר</w:t>
      </w:r>
      <w:r>
        <w:rPr>
          <w:rFonts w:ascii="David" w:hAnsi="David"/>
          <w:b/>
          <w:bCs/>
          <w:color w:val="000000"/>
          <w:shd w:val="clear" w:color="auto" w:fill="FFFFFF"/>
        </w:rPr>
        <w:t>-</w:t>
      </w:r>
      <w:r>
        <w:rPr>
          <w:rFonts w:ascii="David" w:hAnsi="David"/>
          <w:b/>
          <w:bCs/>
          <w:noProof w:val="0"/>
          <w:color w:val="000000"/>
          <w:spacing w:val="10"/>
          <w:shd w:val="clear" w:color="auto" w:fill="FFFFFF"/>
          <w:rtl/>
        </w:rPr>
        <w:t>החקיקה שפרשנותו מונחת בפניו ולבחור מבין כל האפשרויות הפרשניות שאותרו את הפרשנות אשר מגשימה תכליות אלה באופן המיטבי ביותר [...] אלה הם העיקרים. הם נכונים לסוגיות פרשניות ככלל</w:t>
      </w:r>
      <w:r>
        <w:rPr>
          <w:rFonts w:ascii="David" w:hAnsi="David"/>
          <w:b/>
          <w:bCs/>
          <w:color w:val="000000"/>
          <w:spacing w:val="10"/>
          <w:shd w:val="clear" w:color="auto" w:fill="FFFFFF"/>
        </w:rPr>
        <w:t>.</w:t>
      </w:r>
    </w:p>
    <w:p w14:paraId="0E3BAD82" w14:textId="77777777" w:rsidR="009A6074" w:rsidRDefault="00000000" w:rsidP="007F2201">
      <w:pPr>
        <w:pStyle w:val="11"/>
        <w:spacing w:after="0" w:line="360" w:lineRule="auto"/>
        <w:ind w:left="1417"/>
        <w:jc w:val="both"/>
        <w:rPr>
          <w:rFonts w:ascii="David" w:hAnsi="David" w:cs="David"/>
          <w:b/>
          <w:bCs/>
          <w:sz w:val="24"/>
          <w:szCs w:val="24"/>
        </w:rPr>
      </w:pPr>
      <w:r>
        <w:rPr>
          <w:rFonts w:ascii="David" w:hAnsi="David" w:cs="David"/>
          <w:b/>
          <w:bCs/>
          <w:sz w:val="24"/>
          <w:szCs w:val="24"/>
          <w:rtl/>
        </w:rPr>
        <w:t>[...]</w:t>
      </w:r>
    </w:p>
    <w:p w14:paraId="227C0921" w14:textId="77777777" w:rsidR="009A6074" w:rsidRDefault="00000000" w:rsidP="00644618">
      <w:pPr>
        <w:spacing w:line="360" w:lineRule="auto"/>
        <w:ind w:left="1417"/>
        <w:jc w:val="both"/>
        <w:rPr>
          <w:rFonts w:ascii="David" w:hAnsi="David"/>
        </w:rPr>
      </w:pPr>
      <w:r>
        <w:rPr>
          <w:rFonts w:ascii="David" w:hAnsi="David"/>
          <w:b/>
          <w:bCs/>
          <w:color w:val="000000"/>
          <w:spacing w:val="10"/>
          <w:shd w:val="clear" w:color="auto" w:fill="FFFFFF"/>
        </w:rPr>
        <w:t>22</w:t>
      </w:r>
      <w:r>
        <w:rPr>
          <w:rFonts w:ascii="David" w:hAnsi="David"/>
          <w:b/>
          <w:bCs/>
          <w:noProof w:val="0"/>
          <w:color w:val="000000"/>
          <w:spacing w:val="10"/>
          <w:shd w:val="clear" w:color="auto" w:fill="FFFFFF"/>
          <w:rtl/>
        </w:rPr>
        <w:t>.השאלה אם הסדר חקיקתי מהווה הסדר שלילי היא שאלה פרשנית. היא ממוקדת במשמעותהּ של בחירתו הנורמטיבית של המחוקק להתייחס לעניינים מסוימים ולהימנע מלהתייחס לעניינים אחרים. הפרשנות שלפיה הסדר נורמטיבי מהווה הסדר שלילי תאומץ במקרים שבהם מסיק בית המשפט כי שתיקתו של המחוקק הייתה מכוּונת ותכליתהּ</w:t>
      </w:r>
      <w:r w:rsidR="007E07D4">
        <w:rPr>
          <w:rFonts w:ascii="David" w:hAnsi="David"/>
          <w:b/>
          <w:bCs/>
          <w:noProof w:val="0"/>
          <w:color w:val="000000"/>
          <w:spacing w:val="10"/>
          <w:shd w:val="clear" w:color="auto" w:fill="FFFFFF"/>
          <w:rtl/>
        </w:rPr>
        <w:t xml:space="preserve"> </w:t>
      </w:r>
      <w:r>
        <w:rPr>
          <w:rFonts w:ascii="David" w:hAnsi="David"/>
          <w:b/>
          <w:bCs/>
          <w:noProof w:val="0"/>
          <w:color w:val="000000"/>
          <w:shd w:val="clear" w:color="auto" w:fill="FFFFFF"/>
          <w:rtl/>
        </w:rPr>
        <w:t>לשלול</w:t>
      </w:r>
      <w:r w:rsidR="007E07D4">
        <w:rPr>
          <w:rFonts w:ascii="David" w:hAnsi="David"/>
          <w:b/>
          <w:bCs/>
          <w:noProof w:val="0"/>
          <w:color w:val="000000"/>
          <w:spacing w:val="10"/>
          <w:shd w:val="clear" w:color="auto" w:fill="FFFFFF"/>
          <w:rtl/>
        </w:rPr>
        <w:t xml:space="preserve"> </w:t>
      </w:r>
      <w:r>
        <w:rPr>
          <w:rFonts w:ascii="David" w:hAnsi="David"/>
          <w:b/>
          <w:bCs/>
          <w:noProof w:val="0"/>
          <w:color w:val="000000"/>
          <w:spacing w:val="10"/>
          <w:shd w:val="clear" w:color="auto" w:fill="FFFFFF"/>
          <w:rtl/>
        </w:rPr>
        <w:t>את העניינים שאליהם נמנע מלהתייחס [...] במילים אחרות, הסדר נורמטיבי יפורש כהסדר שלילי מקום שפרשנות זו מגשימה את תכליתו של ההסדר, קרי את</w:t>
      </w:r>
      <w:r w:rsidR="007E07D4">
        <w:rPr>
          <w:rFonts w:ascii="David" w:hAnsi="David"/>
          <w:b/>
          <w:bCs/>
          <w:noProof w:val="0"/>
          <w:color w:val="000000"/>
          <w:spacing w:val="10"/>
          <w:shd w:val="clear" w:color="auto" w:fill="FFFFFF"/>
          <w:rtl/>
        </w:rPr>
        <w:t xml:space="preserve"> </w:t>
      </w:r>
      <w:r>
        <w:rPr>
          <w:rFonts w:ascii="David" w:hAnsi="David"/>
          <w:b/>
          <w:bCs/>
          <w:noProof w:val="0"/>
          <w:color w:val="000000"/>
          <w:shd w:val="clear" w:color="auto" w:fill="FFFFFF"/>
          <w:rtl/>
        </w:rPr>
        <w:t>רצון המחוקק</w:t>
      </w:r>
      <w:r w:rsidR="007E07D4">
        <w:rPr>
          <w:rFonts w:ascii="David" w:hAnsi="David"/>
          <w:b/>
          <w:bCs/>
          <w:noProof w:val="0"/>
          <w:color w:val="000000"/>
          <w:shd w:val="clear" w:color="auto" w:fill="FFFFFF"/>
          <w:rtl/>
        </w:rPr>
        <w:t xml:space="preserve"> </w:t>
      </w:r>
      <w:r>
        <w:rPr>
          <w:rFonts w:ascii="David" w:hAnsi="David"/>
          <w:b/>
          <w:bCs/>
          <w:noProof w:val="0"/>
          <w:color w:val="000000"/>
          <w:spacing w:val="10"/>
          <w:shd w:val="clear" w:color="auto" w:fill="FFFFFF"/>
          <w:rtl/>
        </w:rPr>
        <w:t>ואת</w:t>
      </w:r>
      <w:r w:rsidR="007E07D4">
        <w:rPr>
          <w:rFonts w:ascii="David" w:hAnsi="David"/>
          <w:b/>
          <w:bCs/>
          <w:noProof w:val="0"/>
          <w:color w:val="000000"/>
          <w:shd w:val="clear" w:color="auto" w:fill="FFFFFF"/>
          <w:rtl/>
        </w:rPr>
        <w:t xml:space="preserve"> </w:t>
      </w:r>
      <w:r>
        <w:rPr>
          <w:rFonts w:ascii="David" w:hAnsi="David"/>
          <w:b/>
          <w:bCs/>
          <w:noProof w:val="0"/>
          <w:color w:val="000000"/>
          <w:shd w:val="clear" w:color="auto" w:fill="FFFFFF"/>
          <w:rtl/>
        </w:rPr>
        <w:t>כוונתו</w:t>
      </w:r>
      <w:r>
        <w:rPr>
          <w:rFonts w:ascii="David" w:hAnsi="David"/>
          <w:b/>
          <w:bCs/>
          <w:noProof w:val="0"/>
          <w:spacing w:val="10"/>
          <w:shd w:val="clear" w:color="auto" w:fill="FFFFFF"/>
          <w:rtl/>
        </w:rPr>
        <w:t xml:space="preserve"> [...] </w:t>
      </w:r>
      <w:r>
        <w:rPr>
          <w:rFonts w:ascii="David" w:hAnsi="David"/>
          <w:b/>
          <w:bCs/>
          <w:noProof w:val="0"/>
          <w:color w:val="000000"/>
          <w:spacing w:val="10"/>
          <w:shd w:val="clear" w:color="auto" w:fill="FFFFFF"/>
          <w:rtl/>
        </w:rPr>
        <w:t>מנגד, ישנם מקרים שבהם המחוקק לא התכוון ליצור הסדר נורמטיבי שהוא הסדר שלילי. אם ההסדר אינו שלם באופן הסותר את תכליתו, הרי שמדובר בחֶסֶר בחקיקה</w:t>
      </w:r>
      <w:r>
        <w:rPr>
          <w:rFonts w:ascii="David" w:hAnsi="David"/>
          <w:b/>
          <w:bCs/>
          <w:noProof w:val="0"/>
          <w:rtl/>
        </w:rPr>
        <w:t xml:space="preserve"> [...]</w:t>
      </w:r>
      <w:r>
        <w:rPr>
          <w:rFonts w:ascii="David" w:hAnsi="David"/>
          <w:noProof w:val="0"/>
          <w:rtl/>
        </w:rPr>
        <w:t>" (פסקאות 20 ו-22 לפסק דינה של כבוד הנשיאה (דאז) מ.נאור).</w:t>
      </w:r>
    </w:p>
    <w:p w14:paraId="0B76F39C" w14:textId="77777777" w:rsidR="009A6074" w:rsidRDefault="009A6074" w:rsidP="007F2201">
      <w:pPr>
        <w:spacing w:line="360" w:lineRule="auto"/>
        <w:jc w:val="both"/>
        <w:rPr>
          <w:rFonts w:ascii="David" w:hAnsi="David"/>
          <w:noProof w:val="0"/>
          <w:rtl/>
        </w:rPr>
      </w:pPr>
    </w:p>
    <w:p w14:paraId="6D6C591F" w14:textId="77777777" w:rsidR="009A6074" w:rsidRDefault="00000000" w:rsidP="008928DA">
      <w:pPr>
        <w:pStyle w:val="11"/>
        <w:numPr>
          <w:ilvl w:val="0"/>
          <w:numId w:val="1"/>
        </w:numPr>
        <w:spacing w:line="360" w:lineRule="auto"/>
        <w:jc w:val="both"/>
        <w:rPr>
          <w:rFonts w:ascii="David" w:hAnsi="David" w:cs="David"/>
          <w:noProof/>
          <w:sz w:val="24"/>
          <w:szCs w:val="24"/>
          <w:u w:val="single"/>
        </w:rPr>
      </w:pPr>
      <w:r w:rsidRPr="00F84CD2">
        <w:rPr>
          <w:rFonts w:ascii="David" w:hAnsi="David" w:cs="David"/>
          <w:sz w:val="24"/>
          <w:szCs w:val="24"/>
          <w:rtl/>
        </w:rPr>
        <w:t xml:space="preserve">בעניין </w:t>
      </w:r>
      <w:r w:rsidRPr="00F84CD2">
        <w:rPr>
          <w:rFonts w:ascii="David" w:hAnsi="David" w:cs="David"/>
          <w:b/>
          <w:bCs/>
          <w:sz w:val="24"/>
          <w:szCs w:val="24"/>
          <w:rtl/>
        </w:rPr>
        <w:t>דמארי</w:t>
      </w:r>
      <w:r w:rsidRPr="00F84CD2">
        <w:rPr>
          <w:rFonts w:ascii="David" w:hAnsi="David" w:cs="David"/>
          <w:sz w:val="24"/>
          <w:szCs w:val="24"/>
          <w:rtl/>
        </w:rPr>
        <w:t xml:space="preserve"> נקבע, כי כללי פרשנות חוקי המס אינם נבדל</w:t>
      </w:r>
      <w:r>
        <w:rPr>
          <w:rFonts w:ascii="David" w:hAnsi="David" w:cs="David"/>
          <w:sz w:val="24"/>
          <w:szCs w:val="24"/>
          <w:rtl/>
        </w:rPr>
        <w:t>ים</w:t>
      </w:r>
      <w:r w:rsidRPr="00F84CD2">
        <w:rPr>
          <w:rFonts w:ascii="David" w:hAnsi="David" w:cs="David"/>
          <w:sz w:val="24"/>
          <w:szCs w:val="24"/>
          <w:rtl/>
        </w:rPr>
        <w:t xml:space="preserve"> מכללי הפרשנות החלים על יתר דברי החקיקה. ועוד הובהר באילו מקרים יהיה מדובר בלקונה בחוק- חסר הדורש השלמה, לעומת מקרים של הסדר שלילי, המבטאים את רצון המחוקק ואינם דורשים השלמה. </w:t>
      </w:r>
      <w:r>
        <w:rPr>
          <w:rFonts w:ascii="David" w:hAnsi="David" w:cs="David"/>
          <w:sz w:val="24"/>
          <w:szCs w:val="24"/>
          <w:rtl/>
        </w:rPr>
        <w:t xml:space="preserve">במקרה דנן, ישנו הסדר שלם המגשים את תכליתו ביחס להקלה במס רכישה לרוכש שלא הייתה בבעלותו דירת מגורים, </w:t>
      </w:r>
      <w:r>
        <w:rPr>
          <w:rFonts w:ascii="David" w:hAnsi="David" w:cs="David"/>
          <w:b/>
          <w:bCs/>
          <w:sz w:val="24"/>
          <w:szCs w:val="24"/>
          <w:rtl/>
        </w:rPr>
        <w:t>הן לפי לשון החוק והן לפי תכלית החוק</w:t>
      </w:r>
      <w:r>
        <w:rPr>
          <w:rFonts w:ascii="David" w:hAnsi="David" w:cs="David"/>
          <w:sz w:val="24"/>
          <w:szCs w:val="24"/>
          <w:rtl/>
        </w:rPr>
        <w:t xml:space="preserve">. </w:t>
      </w:r>
      <w:r w:rsidRPr="00F84CD2">
        <w:rPr>
          <w:rFonts w:ascii="David" w:hAnsi="David" w:cs="David"/>
          <w:sz w:val="24"/>
          <w:szCs w:val="24"/>
          <w:rtl/>
        </w:rPr>
        <w:t>בטענותיהם</w:t>
      </w:r>
      <w:r>
        <w:rPr>
          <w:rFonts w:ascii="David" w:hAnsi="David" w:cs="David"/>
          <w:sz w:val="24"/>
          <w:szCs w:val="24"/>
          <w:rtl/>
        </w:rPr>
        <w:t xml:space="preserve"> מנסים</w:t>
      </w:r>
      <w:r w:rsidRPr="00F84CD2">
        <w:rPr>
          <w:rFonts w:ascii="David" w:hAnsi="David" w:cs="David"/>
          <w:sz w:val="24"/>
          <w:szCs w:val="24"/>
          <w:rtl/>
        </w:rPr>
        <w:t xml:space="preserve"> העוררים </w:t>
      </w:r>
      <w:r>
        <w:rPr>
          <w:rFonts w:ascii="David" w:hAnsi="David" w:cs="David"/>
          <w:sz w:val="24"/>
          <w:szCs w:val="24"/>
          <w:rtl/>
        </w:rPr>
        <w:t xml:space="preserve">לעורר </w:t>
      </w:r>
      <w:r w:rsidRPr="00F84CD2">
        <w:rPr>
          <w:rFonts w:ascii="David" w:hAnsi="David" w:cs="David"/>
          <w:sz w:val="24"/>
          <w:szCs w:val="24"/>
          <w:rtl/>
        </w:rPr>
        <w:t>שאלה פרשנית מקום שהדברים ברורים. העוררים מבקשים ליהנות מהקלת מס על רכישת הדירה השלישית, כאשר הם נבנים מפרשנות</w:t>
      </w:r>
      <w:r>
        <w:rPr>
          <w:rFonts w:ascii="David" w:hAnsi="David" w:cs="David"/>
          <w:sz w:val="24"/>
          <w:szCs w:val="24"/>
          <w:rtl/>
        </w:rPr>
        <w:t xml:space="preserve"> חריגה או "יצירתית" </w:t>
      </w:r>
      <w:hyperlink r:id="rId40" w:history="1">
        <w:r w:rsidR="00E32C0E" w:rsidRPr="00E32C0E">
          <w:rPr>
            <w:rStyle w:val="Hyperlink"/>
            <w:rFonts w:ascii="David" w:hAnsi="David" w:cs="David"/>
            <w:sz w:val="24"/>
            <w:szCs w:val="24"/>
            <w:rtl/>
          </w:rPr>
          <w:t>לסעיף 9(ג1ג)(2)(ב1)</w:t>
        </w:r>
      </w:hyperlink>
      <w:r w:rsidRPr="00F84CD2">
        <w:rPr>
          <w:rFonts w:ascii="David" w:hAnsi="David" w:cs="David"/>
          <w:sz w:val="24"/>
          <w:szCs w:val="24"/>
          <w:rtl/>
        </w:rPr>
        <w:t xml:space="preserve">, כזו המתעלמת מלשון החוק ומתכליתו. </w:t>
      </w:r>
    </w:p>
    <w:p w14:paraId="70A3F5F7" w14:textId="77777777" w:rsidR="009A6074" w:rsidRPr="00F84CD2" w:rsidRDefault="009A6074" w:rsidP="00F84CD2">
      <w:pPr>
        <w:pStyle w:val="11"/>
        <w:spacing w:line="360" w:lineRule="auto"/>
        <w:jc w:val="both"/>
        <w:rPr>
          <w:rFonts w:ascii="David" w:hAnsi="David" w:cs="David"/>
          <w:noProof/>
          <w:sz w:val="24"/>
          <w:szCs w:val="24"/>
          <w:u w:val="single"/>
        </w:rPr>
      </w:pPr>
    </w:p>
    <w:p w14:paraId="5D2000BC" w14:textId="77777777" w:rsidR="009A6074" w:rsidRPr="00F84CD2" w:rsidRDefault="00000000" w:rsidP="00CE4AC5">
      <w:pPr>
        <w:pStyle w:val="11"/>
        <w:numPr>
          <w:ilvl w:val="0"/>
          <w:numId w:val="1"/>
        </w:numPr>
        <w:spacing w:line="360" w:lineRule="auto"/>
        <w:jc w:val="both"/>
        <w:rPr>
          <w:rFonts w:ascii="David" w:hAnsi="David" w:cs="David"/>
          <w:noProof/>
          <w:sz w:val="24"/>
          <w:szCs w:val="24"/>
          <w:u w:val="single"/>
        </w:rPr>
      </w:pPr>
      <w:r>
        <w:rPr>
          <w:rFonts w:ascii="David" w:hAnsi="David" w:cs="David"/>
          <w:noProof/>
          <w:sz w:val="24"/>
          <w:szCs w:val="24"/>
          <w:rtl/>
        </w:rPr>
        <w:t xml:space="preserve">כאמור מעלה, לשון החוק ברורה ואין כל אזכור ל"דירה חלופית" בסעיף קבוצת הרכישה. בעת רכישת הדירה השלישית העוררים לא עמדו בגדר תנאי </w:t>
      </w:r>
      <w:hyperlink r:id="rId41" w:history="1">
        <w:r w:rsidR="00E32C0E" w:rsidRPr="00E32C0E">
          <w:rPr>
            <w:rStyle w:val="Hyperlink"/>
            <w:rFonts w:ascii="David" w:hAnsi="David" w:cs="David"/>
            <w:noProof/>
            <w:sz w:val="24"/>
            <w:szCs w:val="24"/>
            <w:rtl/>
          </w:rPr>
          <w:t>סעיף 9(ג1ג)(2)(ב).</w:t>
        </w:r>
      </w:hyperlink>
      <w:r>
        <w:rPr>
          <w:rFonts w:ascii="David" w:hAnsi="David" w:cs="David"/>
          <w:noProof/>
          <w:sz w:val="24"/>
          <w:szCs w:val="24"/>
          <w:rtl/>
        </w:rPr>
        <w:t xml:space="preserve"> לפי לשון הסעיף, רק רוכש אשר עובר לרכישת הדירה החדשה, החזיק בדירה </w:t>
      </w:r>
      <w:r>
        <w:rPr>
          <w:rFonts w:ascii="David" w:hAnsi="David" w:cs="David"/>
          <w:noProof/>
          <w:sz w:val="24"/>
          <w:szCs w:val="24"/>
          <w:u w:val="single"/>
          <w:rtl/>
        </w:rPr>
        <w:t>אחת בלבד</w:t>
      </w:r>
      <w:r>
        <w:rPr>
          <w:rFonts w:ascii="David" w:hAnsi="David" w:cs="David"/>
          <w:noProof/>
          <w:sz w:val="24"/>
          <w:szCs w:val="24"/>
          <w:rtl/>
        </w:rPr>
        <w:t xml:space="preserve">, יהיה זכאי להקלות המפורטות בסעיף, בכפוף לעמידתו ביתר תנאי הסעיף. לפי הוראת ביצוע מיסוי מקרקעין 2/2013, דין רכישת מגורים בקבוצת רכישה כדין רכישת מגורים מקבלן. בהתאם, לאור רכישת הזכות בקבוצת הרכישה, קיבלו העוררים הטבת מס בגין רכישת הדירה בקבוצת הרכישה. העוררים אינם עומדים בתנאים הקבועים </w:t>
      </w:r>
      <w:hyperlink r:id="rId42" w:history="1">
        <w:r w:rsidR="00E32C0E" w:rsidRPr="00E32C0E">
          <w:rPr>
            <w:rStyle w:val="Hyperlink"/>
            <w:rFonts w:ascii="David" w:hAnsi="David" w:cs="David"/>
            <w:noProof/>
            <w:sz w:val="24"/>
            <w:szCs w:val="24"/>
            <w:rtl/>
          </w:rPr>
          <w:t>בסעיף 9(ג1ג)(2)(ב1)</w:t>
        </w:r>
      </w:hyperlink>
      <w:r>
        <w:rPr>
          <w:rFonts w:ascii="David" w:hAnsi="David" w:cs="David"/>
          <w:noProof/>
          <w:sz w:val="24"/>
          <w:szCs w:val="24"/>
          <w:rtl/>
        </w:rPr>
        <w:t xml:space="preserve"> לחוק. לפי לשון הסעיף, מי שרכש דירת מגורים במסגרת קבוצת רכישה, ועובר לרכישת הזכות בקבוצת הרכישה, </w:t>
      </w:r>
      <w:r>
        <w:rPr>
          <w:rFonts w:ascii="David" w:hAnsi="David" w:cs="David"/>
          <w:noProof/>
          <w:sz w:val="24"/>
          <w:szCs w:val="24"/>
          <w:u w:val="single"/>
          <w:rtl/>
        </w:rPr>
        <w:t>לא הייתה</w:t>
      </w:r>
      <w:r>
        <w:rPr>
          <w:rFonts w:ascii="David" w:hAnsi="David" w:cs="David"/>
          <w:noProof/>
          <w:sz w:val="24"/>
          <w:szCs w:val="24"/>
          <w:rtl/>
        </w:rPr>
        <w:t xml:space="preserve"> בבעלותו "דירה אחרת", יהיה זכאי להקלת מס בחלוף 4 או 6.5 שנים ממועד הרכישה בתנאים המפורטים בסעיף.</w:t>
      </w:r>
      <w:r>
        <w:rPr>
          <w:rFonts w:ascii="David" w:hAnsi="David" w:cs="David"/>
          <w:sz w:val="24"/>
          <w:szCs w:val="24"/>
          <w:rtl/>
        </w:rPr>
        <w:t xml:space="preserve"> </w:t>
      </w:r>
    </w:p>
    <w:p w14:paraId="2FC91DD1" w14:textId="77777777" w:rsidR="009A6074" w:rsidRPr="00F84CD2" w:rsidRDefault="009A6074" w:rsidP="00F84CD2">
      <w:pPr>
        <w:pStyle w:val="11"/>
        <w:rPr>
          <w:rFonts w:ascii="David" w:hAnsi="David" w:cs="David"/>
          <w:sz w:val="24"/>
          <w:szCs w:val="24"/>
          <w:rtl/>
        </w:rPr>
      </w:pPr>
    </w:p>
    <w:p w14:paraId="51899585" w14:textId="77777777" w:rsidR="009A6074" w:rsidRPr="00F84CD2" w:rsidRDefault="00000000" w:rsidP="00CE4AC5">
      <w:pPr>
        <w:pStyle w:val="11"/>
        <w:numPr>
          <w:ilvl w:val="0"/>
          <w:numId w:val="1"/>
        </w:numPr>
        <w:spacing w:line="360" w:lineRule="auto"/>
        <w:jc w:val="both"/>
        <w:rPr>
          <w:rFonts w:ascii="David" w:hAnsi="David" w:cs="David"/>
          <w:noProof/>
          <w:sz w:val="24"/>
          <w:szCs w:val="24"/>
          <w:u w:val="single"/>
        </w:rPr>
      </w:pPr>
      <w:r w:rsidRPr="00F84CD2">
        <w:rPr>
          <w:rFonts w:ascii="David" w:hAnsi="David" w:cs="David"/>
          <w:sz w:val="24"/>
          <w:szCs w:val="24"/>
          <w:rtl/>
        </w:rPr>
        <w:t xml:space="preserve">ביחס לתכלית החוק, האופציה הראשונה, המנויה בסעיף 9(ג1ג)(2)(א) לחוק מתייחסת למצב </w:t>
      </w:r>
      <w:r>
        <w:rPr>
          <w:rFonts w:ascii="David" w:hAnsi="David" w:cs="David"/>
          <w:sz w:val="24"/>
          <w:szCs w:val="24"/>
          <w:rtl/>
        </w:rPr>
        <w:t>הפשוט</w:t>
      </w:r>
      <w:r w:rsidRPr="00F84CD2">
        <w:rPr>
          <w:rFonts w:ascii="David" w:hAnsi="David" w:cs="David"/>
          <w:sz w:val="24"/>
          <w:szCs w:val="24"/>
          <w:rtl/>
        </w:rPr>
        <w:t xml:space="preserve">, שאינו רלבנטי לעוררים- לפיו הדירה שנרכשה היא הדירה היחידה של התא המשפחתי, קרי לא קיימת לתא המשפחתי זכות בדירת מגורים אחרת, למעט הזכות הנרכשת. </w:t>
      </w:r>
      <w:r>
        <w:rPr>
          <w:rFonts w:ascii="David" w:hAnsi="David" w:cs="David"/>
          <w:sz w:val="24"/>
          <w:szCs w:val="24"/>
          <w:rtl/>
        </w:rPr>
        <w:t xml:space="preserve">ביחס לרכישה בקבוצת רכישה, </w:t>
      </w:r>
      <w:r w:rsidRPr="00F84CD2">
        <w:rPr>
          <w:rFonts w:ascii="David" w:hAnsi="David" w:cs="David"/>
          <w:sz w:val="24"/>
          <w:szCs w:val="24"/>
          <w:rtl/>
        </w:rPr>
        <w:t xml:space="preserve">בדברי ההסבר לחוק הובהרה כוונת המחוקק באופן חד משמעי, כי </w:t>
      </w:r>
      <w:r w:rsidR="00E32C0E" w:rsidRPr="00E32C0E">
        <w:rPr>
          <w:rFonts w:ascii="David" w:hAnsi="David" w:cs="David"/>
          <w:sz w:val="24"/>
          <w:szCs w:val="24"/>
          <w:rtl/>
        </w:rPr>
        <w:t>הסעיף נוגע</w:t>
      </w:r>
      <w:r w:rsidRPr="00F84CD2">
        <w:rPr>
          <w:rFonts w:ascii="David" w:hAnsi="David" w:cs="David"/>
          <w:sz w:val="24"/>
          <w:szCs w:val="24"/>
          <w:rtl/>
        </w:rPr>
        <w:t xml:space="preserve"> לרוכש אשר "</w:t>
      </w:r>
      <w:r w:rsidRPr="00F84CD2">
        <w:rPr>
          <w:rFonts w:ascii="David" w:hAnsi="David" w:cs="David"/>
          <w:b/>
          <w:bCs/>
          <w:sz w:val="24"/>
          <w:szCs w:val="24"/>
          <w:rtl/>
        </w:rPr>
        <w:t>בעת רכישת כל אחת משתי הדירות לא הייתה ברשותו של אותו רוכש דירה נוספת, פרט לדירה שהוא רכש במסגרת קבוצת הרכישה</w:t>
      </w:r>
      <w:r w:rsidRPr="00F84CD2">
        <w:rPr>
          <w:rFonts w:ascii="David" w:hAnsi="David" w:cs="David"/>
          <w:sz w:val="24"/>
          <w:szCs w:val="24"/>
          <w:rtl/>
        </w:rPr>
        <w:t>".</w:t>
      </w:r>
      <w:r w:rsidRPr="00F84CD2">
        <w:rPr>
          <w:rFonts w:ascii="David" w:hAnsi="David" w:cs="David"/>
          <w:noProof/>
          <w:sz w:val="24"/>
          <w:szCs w:val="24"/>
          <w:rtl/>
        </w:rPr>
        <w:t xml:space="preserve"> משמעות הדבר, היא </w:t>
      </w:r>
      <w:r w:rsidRPr="00F84CD2">
        <w:rPr>
          <w:rFonts w:ascii="David" w:hAnsi="David" w:cs="David"/>
          <w:noProof/>
          <w:sz w:val="24"/>
          <w:szCs w:val="24"/>
          <w:u w:val="single"/>
          <w:rtl/>
        </w:rPr>
        <w:t>שאין מקום לפרשנות העוררים</w:t>
      </w:r>
      <w:r w:rsidRPr="00F84CD2">
        <w:rPr>
          <w:rFonts w:ascii="David" w:hAnsi="David" w:cs="David"/>
          <w:noProof/>
          <w:sz w:val="24"/>
          <w:szCs w:val="24"/>
          <w:rtl/>
        </w:rPr>
        <w:t xml:space="preserve"> לפיה במקום בו לתא המשפחתי קיימת דירה ראשונה ונרכשת דירה נוספת בקבוצת רכישה- זו תחשב לדירה חלופית לאחר שתמכר הדירה הראשונה, ואזי תחשב לדירה יחידה על מנת לזכות בקבלת הקלה במס בעת רכישת הדירה השלישית. </w:t>
      </w:r>
    </w:p>
    <w:p w14:paraId="2639EACE" w14:textId="77777777" w:rsidR="009A6074" w:rsidRDefault="009A6074" w:rsidP="007F2201">
      <w:pPr>
        <w:pStyle w:val="11"/>
        <w:rPr>
          <w:rFonts w:ascii="David" w:hAnsi="David" w:cs="David"/>
          <w:sz w:val="24"/>
          <w:szCs w:val="24"/>
        </w:rPr>
      </w:pPr>
    </w:p>
    <w:p w14:paraId="16F1B25C" w14:textId="77777777" w:rsidR="009A6074" w:rsidRDefault="00000000" w:rsidP="00CE4AC5">
      <w:pPr>
        <w:pStyle w:val="11"/>
        <w:numPr>
          <w:ilvl w:val="0"/>
          <w:numId w:val="1"/>
        </w:numPr>
        <w:spacing w:line="360" w:lineRule="auto"/>
        <w:jc w:val="both"/>
        <w:rPr>
          <w:rFonts w:ascii="David" w:hAnsi="David" w:cs="David"/>
          <w:sz w:val="24"/>
          <w:szCs w:val="24"/>
          <w:rtl/>
        </w:rPr>
      </w:pPr>
      <w:r>
        <w:rPr>
          <w:rFonts w:ascii="David" w:hAnsi="David" w:cs="David"/>
          <w:sz w:val="24"/>
          <w:szCs w:val="24"/>
          <w:rtl/>
        </w:rPr>
        <w:t xml:space="preserve">ודוק, האופציות הנוספות לפיהן ניתן להעניק הקלת מס, גם הן אינן רלבנטיות לעניינם של העוררים. </w:t>
      </w:r>
      <w:hyperlink r:id="rId43" w:history="1">
        <w:r w:rsidR="00E32C0E" w:rsidRPr="00E32C0E">
          <w:rPr>
            <w:rStyle w:val="Hyperlink"/>
            <w:rFonts w:ascii="David" w:hAnsi="David" w:cs="David"/>
            <w:noProof/>
            <w:sz w:val="24"/>
            <w:szCs w:val="24"/>
            <w:rtl/>
          </w:rPr>
          <w:t>סעיף 9(ג1ג)(2)(ב)</w:t>
        </w:r>
      </w:hyperlink>
      <w:r>
        <w:rPr>
          <w:rFonts w:ascii="David" w:hAnsi="David" w:cs="David"/>
          <w:noProof/>
          <w:sz w:val="24"/>
          <w:szCs w:val="24"/>
          <w:rtl/>
        </w:rPr>
        <w:t xml:space="preserve"> לחוק מתייחס למצב של שיפור מגורים לתא המשפחתי; </w:t>
      </w:r>
      <w:hyperlink r:id="rId44" w:history="1">
        <w:r w:rsidR="00E32C0E" w:rsidRPr="00E32C0E">
          <w:rPr>
            <w:rStyle w:val="Hyperlink"/>
            <w:rFonts w:ascii="David" w:hAnsi="David" w:cs="David"/>
            <w:noProof/>
            <w:sz w:val="24"/>
            <w:szCs w:val="24"/>
            <w:rtl/>
          </w:rPr>
          <w:t>וסעיף 9(ג1ג)(2)(ב1)</w:t>
        </w:r>
      </w:hyperlink>
      <w:r>
        <w:rPr>
          <w:rFonts w:ascii="David" w:hAnsi="David" w:cs="David"/>
          <w:noProof/>
          <w:sz w:val="24"/>
          <w:szCs w:val="24"/>
          <w:rtl/>
        </w:rPr>
        <w:t xml:space="preserve"> לחוק, שכאמור התווסף בתיקון 93, מתייחס למצב של רכישת מדור לתא המשפחתי במצב דברים שאין לתא המשפחתי מגורים בבעלותו, בהם יוכלו להתגורר. אלא שבענייננו, </w:t>
      </w:r>
      <w:r>
        <w:rPr>
          <w:rFonts w:ascii="David" w:hAnsi="David" w:cs="David"/>
          <w:sz w:val="24"/>
          <w:szCs w:val="24"/>
          <w:rtl/>
        </w:rPr>
        <w:t xml:space="preserve">הציעו העוררים פרשנות שונה לתיקון 93 לחוק משאינם עומדים בתנאי סעיף משפרי הדיור. </w:t>
      </w:r>
      <w:r>
        <w:rPr>
          <w:rFonts w:ascii="David" w:hAnsi="David" w:cs="David"/>
          <w:noProof/>
          <w:sz w:val="24"/>
          <w:szCs w:val="24"/>
          <w:rtl/>
        </w:rPr>
        <w:t xml:space="preserve"> </w:t>
      </w:r>
      <w:r>
        <w:rPr>
          <w:rFonts w:ascii="David" w:hAnsi="David" w:cs="David"/>
          <w:sz w:val="24"/>
          <w:szCs w:val="24"/>
          <w:rtl/>
        </w:rPr>
        <w:t>סעיף קבוצת הרכישה אינו מתייחס למצב של שיפור מגורים, אשר נותן מענה לצורך אחר של רוכשי דירות. בשונה מרוכש הנותר ללא מדור שנים ארוכות, ונאלץ כאמור להיתמך בתחליפי מדור ולשאת בהוצאות שכירות למגורים לשנים ארוכות, למשפר המגורים באמצעות קבוצת רכישה, אשר חל עיכוב בהשלמת הפרויקט, ישנו פתרון מגורים והוא דירתו האחרת הקודמת לרכישה במסגרת קבוצת הרכישה.</w:t>
      </w:r>
    </w:p>
    <w:p w14:paraId="51543EE0" w14:textId="77777777" w:rsidR="009A6074" w:rsidRDefault="009A6074" w:rsidP="007F2201">
      <w:pPr>
        <w:rPr>
          <w:rFonts w:ascii="David" w:hAnsi="David"/>
        </w:rPr>
      </w:pPr>
    </w:p>
    <w:p w14:paraId="27FCEDD8" w14:textId="77777777" w:rsidR="009A6074" w:rsidRDefault="00000000" w:rsidP="00CE4AC5">
      <w:pPr>
        <w:pStyle w:val="11"/>
        <w:numPr>
          <w:ilvl w:val="0"/>
          <w:numId w:val="1"/>
        </w:numPr>
        <w:spacing w:line="360" w:lineRule="auto"/>
        <w:jc w:val="both"/>
        <w:rPr>
          <w:rFonts w:ascii="David" w:hAnsi="David" w:cs="David"/>
          <w:sz w:val="24"/>
          <w:szCs w:val="24"/>
          <w:rtl/>
        </w:rPr>
      </w:pPr>
      <w:r>
        <w:rPr>
          <w:rFonts w:ascii="David" w:hAnsi="David" w:cs="David"/>
          <w:sz w:val="24"/>
          <w:szCs w:val="24"/>
          <w:rtl/>
        </w:rPr>
        <w:t xml:space="preserve">הדברים האמורים מתיישבים עם דברי ההסבר לתיקון מספר 93, ועם הדברים שנאמרו בדיונים אודות תיקון זה ובחוזר מיסוי מקרקעין "שיעור מס הרכישה ברכישת דירת מגורים במהווה תחליף לדירת מגורים יחידה בקבוצת רכישה שבנייתה טרם הסתיימה", חוזר מספר 2/2019 מיום 8.2.2019. אלו מלמדים כולם כי לשון החוק ותכלית החוק ברורות ולא ניתן להחיל פרשנות אחרת לסעיף. עמד על כך המשיב בפסקאות 41-52 לסיכומיו (הדגשות במקור), אותם אני מקבל: </w:t>
      </w:r>
    </w:p>
    <w:p w14:paraId="2D3D4279" w14:textId="77777777" w:rsidR="009A6074" w:rsidRDefault="009A6074" w:rsidP="007F2201">
      <w:pPr>
        <w:pStyle w:val="11"/>
        <w:rPr>
          <w:rFonts w:ascii="David" w:hAnsi="David" w:cs="David"/>
          <w:sz w:val="24"/>
          <w:szCs w:val="24"/>
        </w:rPr>
      </w:pPr>
    </w:p>
    <w:p w14:paraId="222BEEFB" w14:textId="77777777" w:rsidR="009A6074" w:rsidRDefault="00000000" w:rsidP="007F2201">
      <w:pPr>
        <w:pStyle w:val="11"/>
        <w:spacing w:line="360" w:lineRule="auto"/>
        <w:ind w:left="1417"/>
        <w:jc w:val="both"/>
        <w:rPr>
          <w:rFonts w:ascii="David" w:hAnsi="David" w:cs="David"/>
          <w:sz w:val="24"/>
          <w:szCs w:val="24"/>
          <w:rtl/>
        </w:rPr>
      </w:pPr>
      <w:r>
        <w:rPr>
          <w:rFonts w:ascii="David" w:hAnsi="David" w:cs="David"/>
          <w:sz w:val="24"/>
          <w:szCs w:val="24"/>
          <w:rtl/>
        </w:rPr>
        <w:t xml:space="preserve">"41.בדברי ההסבר לתיקון 93 נכתב כי ערב התיקון, סעיף 9(ג1ג) קבע שיעורי מס רכישה מופחתים למי שרוכש דירה יחידה או למשפר דיור ולא היה מענה למי שדירתו היחידה הינה זכות בקבוצת רכישה אשר טרם החלה בנייתה או חל עיכוב בבנייתה: </w:t>
      </w:r>
    </w:p>
    <w:p w14:paraId="0A7BD08E" w14:textId="77777777" w:rsidR="009A6074" w:rsidRDefault="009A6074" w:rsidP="007F2201">
      <w:pPr>
        <w:pStyle w:val="11"/>
        <w:spacing w:after="0" w:line="360" w:lineRule="auto"/>
        <w:ind w:left="1417"/>
        <w:jc w:val="both"/>
        <w:rPr>
          <w:rFonts w:ascii="David" w:hAnsi="David" w:cs="David"/>
          <w:sz w:val="24"/>
          <w:szCs w:val="24"/>
          <w:rtl/>
        </w:rPr>
      </w:pPr>
    </w:p>
    <w:p w14:paraId="4AFC81FF" w14:textId="77777777" w:rsidR="009A6074" w:rsidRDefault="00000000" w:rsidP="007F2201">
      <w:pPr>
        <w:pStyle w:val="11"/>
        <w:spacing w:after="0" w:line="360" w:lineRule="auto"/>
        <w:ind w:left="1417"/>
        <w:jc w:val="both"/>
        <w:rPr>
          <w:rFonts w:ascii="David" w:hAnsi="David" w:cs="David"/>
          <w:sz w:val="24"/>
          <w:szCs w:val="24"/>
          <w:rtl/>
        </w:rPr>
      </w:pPr>
      <w:r>
        <w:rPr>
          <w:rFonts w:ascii="David" w:hAnsi="David" w:cs="David"/>
          <w:sz w:val="24"/>
          <w:szCs w:val="24"/>
          <w:rtl/>
        </w:rPr>
        <w:t>"</w:t>
      </w:r>
      <w:r>
        <w:rPr>
          <w:rFonts w:ascii="David" w:hAnsi="David" w:cs="David"/>
          <w:b/>
          <w:bCs/>
          <w:sz w:val="24"/>
          <w:szCs w:val="24"/>
          <w:rtl/>
        </w:rPr>
        <w:t>במצב שבו בניית הדירה שנרכשה במסגרת קבוצת הרכישה טרם החלה או שחל עיכוב בבנייתה וזוהי הדירה היחידה של הרוכש, אם ירצה הרוכש לקנות דירה נוספת, הוא ייחשב למי שיש בבעלותו דירה, ולפיכך יחויב במס רכישה בשיעורים הגבוהים החלים על מי שנחשב למשקיע</w:t>
      </w:r>
      <w:r>
        <w:rPr>
          <w:rFonts w:ascii="David" w:hAnsi="David" w:cs="David"/>
          <w:sz w:val="24"/>
          <w:szCs w:val="24"/>
          <w:rtl/>
        </w:rPr>
        <w:t>" (ה"ח הכנסת תשע"ח, מס' 778, עמוד 166).</w:t>
      </w:r>
    </w:p>
    <w:p w14:paraId="5413E622" w14:textId="77777777" w:rsidR="009A6074" w:rsidRPr="00E93106" w:rsidRDefault="00000000" w:rsidP="007F2201">
      <w:pPr>
        <w:spacing w:line="360" w:lineRule="auto"/>
        <w:ind w:left="1417"/>
        <w:jc w:val="both"/>
        <w:rPr>
          <w:noProof w:val="0"/>
          <w:rtl/>
        </w:rPr>
      </w:pPr>
      <w:r w:rsidRPr="00E93106">
        <w:rPr>
          <w:noProof w:val="0"/>
          <w:rtl/>
        </w:rPr>
        <w:t>42.על רקע זה, חוקק סעיף (ב1) והדברים כתובים:</w:t>
      </w:r>
    </w:p>
    <w:p w14:paraId="1A707FAB" w14:textId="77777777" w:rsidR="009A6074" w:rsidRPr="00E93106" w:rsidRDefault="009A6074" w:rsidP="007F2201">
      <w:pPr>
        <w:spacing w:line="360" w:lineRule="auto"/>
        <w:ind w:left="1417"/>
        <w:jc w:val="both"/>
        <w:rPr>
          <w:noProof w:val="0"/>
          <w:rtl/>
        </w:rPr>
      </w:pPr>
    </w:p>
    <w:p w14:paraId="68DE8A60" w14:textId="77777777" w:rsidR="009A6074" w:rsidRPr="00E93106" w:rsidRDefault="00000000" w:rsidP="007F2201">
      <w:pPr>
        <w:spacing w:line="360" w:lineRule="auto"/>
        <w:ind w:left="1417"/>
        <w:jc w:val="both"/>
        <w:rPr>
          <w:noProof w:val="0"/>
          <w:rtl/>
        </w:rPr>
      </w:pPr>
      <w:r w:rsidRPr="00E93106">
        <w:rPr>
          <w:noProof w:val="0"/>
          <w:rtl/>
        </w:rPr>
        <w:t>"</w:t>
      </w:r>
      <w:r w:rsidRPr="00E93106">
        <w:rPr>
          <w:b/>
          <w:bCs/>
          <w:noProof w:val="0"/>
          <w:rtl/>
        </w:rPr>
        <w:t xml:space="preserve">לפיכך, בהצעת החוק המתפרסמת בזה מוצע להקל על מי שרכש דירה במסגרת קבוצת רכישה וזו </w:t>
      </w:r>
      <w:r w:rsidRPr="00E93106">
        <w:rPr>
          <w:b/>
          <w:bCs/>
          <w:noProof w:val="0"/>
          <w:u w:val="single"/>
          <w:rtl/>
        </w:rPr>
        <w:t>דירתו היחידה</w:t>
      </w:r>
      <w:r w:rsidRPr="00E93106">
        <w:rPr>
          <w:b/>
          <w:bCs/>
          <w:noProof w:val="0"/>
          <w:rtl/>
        </w:rPr>
        <w:t xml:space="preserve"> [...] בעת רכישת כל אחת משתי הדירות לא היתה ברשותו של אותו רוכש דירה נוספת, פרט לדירה שהוא רכש במסגרת קבוצת הרכישה</w:t>
      </w:r>
      <w:r w:rsidRPr="00E93106">
        <w:rPr>
          <w:noProof w:val="0"/>
          <w:rtl/>
        </w:rPr>
        <w:t>".(שם).</w:t>
      </w:r>
    </w:p>
    <w:p w14:paraId="3C6F7B1D" w14:textId="77777777" w:rsidR="009A6074" w:rsidRPr="00E93106" w:rsidRDefault="00000000" w:rsidP="007F2201">
      <w:pPr>
        <w:spacing w:line="360" w:lineRule="auto"/>
        <w:ind w:left="1417"/>
        <w:jc w:val="both"/>
        <w:rPr>
          <w:noProof w:val="0"/>
          <w:rtl/>
        </w:rPr>
      </w:pPr>
      <w:r w:rsidRPr="00E93106">
        <w:rPr>
          <w:noProof w:val="0"/>
          <w:rtl/>
        </w:rPr>
        <w:t>[...]</w:t>
      </w:r>
    </w:p>
    <w:p w14:paraId="1BD2D324" w14:textId="77777777" w:rsidR="009A6074" w:rsidRPr="00E93106" w:rsidRDefault="00000000" w:rsidP="007F2201">
      <w:pPr>
        <w:spacing w:line="360" w:lineRule="auto"/>
        <w:ind w:left="1417"/>
        <w:jc w:val="both"/>
        <w:rPr>
          <w:noProof w:val="0"/>
          <w:rtl/>
        </w:rPr>
      </w:pPr>
      <w:r w:rsidRPr="00E93106">
        <w:rPr>
          <w:noProof w:val="0"/>
          <w:rtl/>
        </w:rPr>
        <w:t>44.עיון בפרוטוקול הדיון בועדת הכספים מלמד כי כוונת המחוקק תומכת בפרשנות המשיב. כך, ח"כ אורי מקלב, יוזם תיקון החקיקה, ציין בנוגע לשיפור המגורים כי:</w:t>
      </w:r>
    </w:p>
    <w:p w14:paraId="01FACA1F" w14:textId="77777777" w:rsidR="009A6074" w:rsidRPr="00E93106" w:rsidRDefault="009A6074" w:rsidP="007F2201">
      <w:pPr>
        <w:spacing w:line="360" w:lineRule="auto"/>
        <w:ind w:left="1417"/>
        <w:jc w:val="both"/>
        <w:rPr>
          <w:noProof w:val="0"/>
          <w:rtl/>
        </w:rPr>
      </w:pPr>
    </w:p>
    <w:p w14:paraId="0D28CA07" w14:textId="77777777" w:rsidR="009A6074" w:rsidRPr="00E93106" w:rsidRDefault="00000000" w:rsidP="007F2201">
      <w:pPr>
        <w:spacing w:line="360" w:lineRule="auto"/>
        <w:ind w:left="1417"/>
        <w:jc w:val="both"/>
        <w:rPr>
          <w:noProof w:val="0"/>
          <w:rtl/>
        </w:rPr>
      </w:pPr>
      <w:r w:rsidRPr="00E93106">
        <w:rPr>
          <w:noProof w:val="0"/>
          <w:rtl/>
        </w:rPr>
        <w:t>"</w:t>
      </w:r>
      <w:r w:rsidRPr="00E93106">
        <w:rPr>
          <w:b/>
          <w:bCs/>
          <w:noProof w:val="0"/>
          <w:rtl/>
        </w:rPr>
        <w:t xml:space="preserve">אדם שיש לו היום דירה ורוצה </w:t>
      </w:r>
      <w:r w:rsidRPr="00E93106">
        <w:rPr>
          <w:b/>
          <w:bCs/>
          <w:noProof w:val="0"/>
          <w:u w:val="single"/>
          <w:rtl/>
        </w:rPr>
        <w:t>לשפר דיור או רוצה להחליף דיור</w:t>
      </w:r>
      <w:r w:rsidRPr="00E93106">
        <w:rPr>
          <w:b/>
          <w:bCs/>
          <w:noProof w:val="0"/>
          <w:rtl/>
        </w:rPr>
        <w:t xml:space="preserve">, וקנה דירה חדשה, יש לו את הזמן, את האפשרות, למכור את הדירה שלו שנה וחצי מקבלת המפתח [...] דא עקא, </w:t>
      </w:r>
      <w:r w:rsidRPr="00E93106">
        <w:rPr>
          <w:b/>
          <w:bCs/>
          <w:noProof w:val="0"/>
          <w:u w:val="single"/>
          <w:rtl/>
        </w:rPr>
        <w:t>מה קורה כשבן אדם, אין לו דירה, יש לו בסך הכול- הוא חבר, הוא קנה בקבוצת רכישה, ועכשיו הוא רוצה לקנות את הדירה החדשה</w:t>
      </w:r>
      <w:r w:rsidRPr="00E93106">
        <w:rPr>
          <w:b/>
          <w:bCs/>
          <w:noProof w:val="0"/>
          <w:rtl/>
        </w:rPr>
        <w:t xml:space="preserve"> [...] </w:t>
      </w:r>
      <w:r w:rsidRPr="00E93106">
        <w:rPr>
          <w:b/>
          <w:bCs/>
          <w:noProof w:val="0"/>
          <w:u w:val="single"/>
          <w:rtl/>
        </w:rPr>
        <w:t>קל וחומר היה צריך להיות לבן אדם שיש לו רק חברות בקבוצת רכישה ואין לו עוד שום דבר ושהוא קונה דירה שנייה</w:t>
      </w:r>
      <w:r w:rsidRPr="00E93106">
        <w:rPr>
          <w:noProof w:val="0"/>
          <w:rtl/>
        </w:rPr>
        <w:t>."</w:t>
      </w:r>
      <w:r w:rsidRPr="00E93106">
        <w:rPr>
          <w:rFonts w:ascii="David" w:hAnsi="David"/>
        </w:rPr>
        <w:t xml:space="preserve">  </w:t>
      </w:r>
    </w:p>
    <w:p w14:paraId="70DB1BF3" w14:textId="77777777" w:rsidR="009A6074" w:rsidRPr="00E93106" w:rsidRDefault="00000000" w:rsidP="007F2201">
      <w:pPr>
        <w:spacing w:line="360" w:lineRule="auto"/>
        <w:ind w:left="1417"/>
        <w:jc w:val="both"/>
        <w:rPr>
          <w:noProof w:val="0"/>
          <w:rtl/>
        </w:rPr>
      </w:pPr>
      <w:r w:rsidRPr="00E93106">
        <w:rPr>
          <w:noProof w:val="0"/>
          <w:rtl/>
        </w:rPr>
        <w:t>[...]</w:t>
      </w:r>
    </w:p>
    <w:p w14:paraId="20CC2CF6" w14:textId="77777777" w:rsidR="009A6074" w:rsidRPr="00E93106" w:rsidRDefault="00000000" w:rsidP="007F2201">
      <w:pPr>
        <w:spacing w:line="360" w:lineRule="auto"/>
        <w:ind w:left="1417"/>
        <w:jc w:val="both"/>
        <w:rPr>
          <w:noProof w:val="0"/>
          <w:rtl/>
        </w:rPr>
      </w:pPr>
      <w:r w:rsidRPr="00E93106">
        <w:rPr>
          <w:noProof w:val="0"/>
          <w:rtl/>
        </w:rPr>
        <w:t xml:space="preserve">50.טרם סיום נתייחס לטענת העוררים בסעיף 3.3.17 לסיכומיהם, שם הם מפנים לדבריה של עו"ד שגית אפק. יצוין כי העוררים הביאו את דברי עו"ד אפק, כפראפרזה וללא ציטוט והפניה ספציפית. מכל מקום, ככל שכוונת העוררים היא לדברי עו"ד אפק בעמוד 48 לפרוטוקול ועדת הכספים מיום 5.6.2018 שהוזכר לעיל, יצוין כי בניגוד לטענתם, מדבריה עולה כי הסיבה לכך ששונה נוסח הסעיף מ"דירה נוספת" ל-"דירה יחידה" היא כדי לקיים את החזקות הקיימות בחוק על דירה יחידה (כגון, דירה שהושכרה לשכירות מוגנת, דירה שחלקו של הרכוש בה הוא פחות מ-25%). ברור כי אין הכוונה לחלופות </w:t>
      </w:r>
      <w:hyperlink r:id="rId45" w:history="1">
        <w:r w:rsidR="00E32C0E" w:rsidRPr="00E32C0E">
          <w:rPr>
            <w:rStyle w:val="Hyperlink"/>
            <w:noProof w:val="0"/>
            <w:rtl/>
          </w:rPr>
          <w:t>שבסעיף 9(ג1ג)(2)(ב).</w:t>
        </w:r>
      </w:hyperlink>
      <w:r w:rsidRPr="00E93106">
        <w:rPr>
          <w:noProof w:val="0"/>
          <w:rtl/>
        </w:rPr>
        <w:t xml:space="preserve"> </w:t>
      </w:r>
    </w:p>
    <w:p w14:paraId="53E58F17" w14:textId="77777777" w:rsidR="009A6074" w:rsidRPr="00E93106" w:rsidRDefault="00000000" w:rsidP="007F2201">
      <w:pPr>
        <w:spacing w:line="360" w:lineRule="auto"/>
        <w:ind w:left="1417"/>
        <w:jc w:val="both"/>
        <w:rPr>
          <w:noProof w:val="0"/>
          <w:rtl/>
        </w:rPr>
      </w:pPr>
      <w:r w:rsidRPr="00E93106">
        <w:rPr>
          <w:noProof w:val="0"/>
          <w:rtl/>
        </w:rPr>
        <w:t>[...]</w:t>
      </w:r>
    </w:p>
    <w:p w14:paraId="28AF4843" w14:textId="77777777" w:rsidR="009A6074" w:rsidRPr="00E93106" w:rsidRDefault="00000000" w:rsidP="007F2201">
      <w:pPr>
        <w:spacing w:line="360" w:lineRule="auto"/>
        <w:ind w:left="1417"/>
        <w:jc w:val="both"/>
        <w:rPr>
          <w:noProof w:val="0"/>
          <w:rtl/>
        </w:rPr>
      </w:pPr>
      <w:r w:rsidRPr="00E93106">
        <w:rPr>
          <w:noProof w:val="0"/>
          <w:rtl/>
        </w:rPr>
        <w:t>52.[...] הדברים האמורים באו לידי ביטוי אף בחוזר רשות המסים במסגרתו הודגש כי ישנו הבדל רלוונטי בין רוכשי דירות מקבלן לבין רוכשי דירות בקבוצת רכישה, המצדיקים הולדת סעיף ספציפי:</w:t>
      </w:r>
    </w:p>
    <w:p w14:paraId="6774032F" w14:textId="77777777" w:rsidR="009A6074" w:rsidRPr="00E93106" w:rsidRDefault="009A6074" w:rsidP="007F2201">
      <w:pPr>
        <w:spacing w:line="360" w:lineRule="auto"/>
        <w:ind w:left="1417"/>
        <w:jc w:val="both"/>
        <w:rPr>
          <w:noProof w:val="0"/>
          <w:rtl/>
        </w:rPr>
      </w:pPr>
    </w:p>
    <w:p w14:paraId="68AB21E6" w14:textId="77777777" w:rsidR="009A6074" w:rsidRPr="00E93106" w:rsidRDefault="00000000" w:rsidP="00CE4AC5">
      <w:pPr>
        <w:spacing w:line="360" w:lineRule="auto"/>
        <w:ind w:left="1417"/>
        <w:jc w:val="both"/>
        <w:rPr>
          <w:noProof w:val="0"/>
          <w:rtl/>
        </w:rPr>
      </w:pPr>
      <w:r w:rsidRPr="00E93106">
        <w:rPr>
          <w:noProof w:val="0"/>
          <w:rtl/>
        </w:rPr>
        <w:t>"</w:t>
      </w:r>
      <w:r w:rsidRPr="00E93106">
        <w:rPr>
          <w:b/>
          <w:bCs/>
          <w:noProof w:val="0"/>
          <w:rtl/>
        </w:rPr>
        <w:t>[...] בעוד שרכישה מקבלן, עומדת האפשרות לרוכש לבטל את העסקה לרכישת הדירה שלא מבשילה, הליך הכרוך בזמן ומשאבים, ביטול הרכישה אינה אלטרנטיבה ממשית במקרה של קבוצת רכישה, כיוון שדורשת ביטול רב צדדי של כל חברי קבוצת הרכישה אל מול בעלי הקרקע</w:t>
      </w:r>
      <w:r w:rsidRPr="00E93106">
        <w:rPr>
          <w:noProof w:val="0"/>
          <w:rtl/>
        </w:rPr>
        <w:t>".</w:t>
      </w:r>
      <w:r w:rsidRPr="00E93106">
        <w:rPr>
          <w:b/>
          <w:bCs/>
          <w:noProof w:val="0"/>
          <w:rtl/>
        </w:rPr>
        <w:t xml:space="preserve"> </w:t>
      </w:r>
      <w:r w:rsidRPr="00E93106">
        <w:rPr>
          <w:noProof w:val="0"/>
          <w:rtl/>
        </w:rPr>
        <w:t>(ראו סעיף 3 לחוזר). אף שהחוזר מאוחר לאירוע הרכישה, אין בכך כדי לשנות את הרלוונטיות שלו להליך ומימלא יש בו לחדד ולהבהיר את תכליות החקיקה, וכך נכתב בעמ' 1 לחוזר: "</w:t>
      </w:r>
      <w:r w:rsidRPr="00E93106">
        <w:rPr>
          <w:b/>
          <w:bCs/>
          <w:noProof w:val="0"/>
          <w:rtl/>
        </w:rPr>
        <w:t>מטרת חוזר זה להבהיר את הוראות התיקון שיחולו ברכישת דירת המגורים החדשה כאשר בבעלות הרוכש דירת מגורים אחרת שנרכשה במסגרת קבוצת רכישה שבנייתה טרם הסתיימה</w:t>
      </w:r>
      <w:r w:rsidRPr="00E93106">
        <w:rPr>
          <w:noProof w:val="0"/>
          <w:rtl/>
        </w:rPr>
        <w:t>".</w:t>
      </w:r>
    </w:p>
    <w:p w14:paraId="0840701D" w14:textId="77777777" w:rsidR="009A6074" w:rsidRDefault="009A6074" w:rsidP="007F2201">
      <w:pPr>
        <w:spacing w:line="360" w:lineRule="auto"/>
        <w:jc w:val="both"/>
        <w:rPr>
          <w:rFonts w:ascii="David" w:hAnsi="David"/>
          <w:noProof w:val="0"/>
          <w:rtl/>
        </w:rPr>
      </w:pPr>
    </w:p>
    <w:p w14:paraId="2B19D02B" w14:textId="77777777" w:rsidR="009A6074" w:rsidRDefault="00000000" w:rsidP="008928DA">
      <w:pPr>
        <w:pStyle w:val="11"/>
        <w:numPr>
          <w:ilvl w:val="0"/>
          <w:numId w:val="1"/>
        </w:numPr>
        <w:spacing w:line="360" w:lineRule="auto"/>
        <w:jc w:val="both"/>
        <w:rPr>
          <w:rFonts w:ascii="David" w:hAnsi="David" w:cs="David"/>
          <w:sz w:val="24"/>
          <w:szCs w:val="24"/>
          <w:rtl/>
        </w:rPr>
      </w:pPr>
      <w:r>
        <w:rPr>
          <w:rFonts w:ascii="David" w:hAnsi="David" w:cs="David"/>
          <w:sz w:val="24"/>
          <w:szCs w:val="24"/>
          <w:rtl/>
        </w:rPr>
        <w:t xml:space="preserve">מן המקובץ לעיל, מובן כי עמדת העוררים אינה עולה בקנה אחד עם לשון החוק ותכליתו. אימוץ עמדת העוררים סותר את כוונת המחוקק למתן הקלה לקבוצה מסוימת שנפגעה בעקבות רכישת זכות בקבוצת רכישה וחל עיכוב מהותי בבנייה. תכלית הסעיף מכוונת אך למצב שבו לאדם לא הייתה דירת מגורים ולא למצב בו אדם מבקש לשפר את דיורו. בהיעדר כל הגדרה אחרת בחוק, משמעות המושג "דירה יחידה" הוא דירה יחידה כשם שהוגדרה </w:t>
      </w:r>
      <w:hyperlink r:id="rId46" w:history="1">
        <w:r w:rsidR="00E32C0E" w:rsidRPr="00E32C0E">
          <w:rPr>
            <w:rStyle w:val="Hyperlink"/>
            <w:rFonts w:ascii="David" w:hAnsi="David" w:cs="David"/>
            <w:sz w:val="24"/>
            <w:szCs w:val="24"/>
            <w:rtl/>
          </w:rPr>
          <w:t>בסעיף 9(ג1ג)(4)</w:t>
        </w:r>
      </w:hyperlink>
      <w:r>
        <w:rPr>
          <w:rFonts w:ascii="David" w:hAnsi="David" w:cs="David"/>
          <w:sz w:val="24"/>
          <w:szCs w:val="24"/>
          <w:rtl/>
        </w:rPr>
        <w:t xml:space="preserve"> לחוק. </w:t>
      </w:r>
    </w:p>
    <w:p w14:paraId="1853CDFA" w14:textId="77777777" w:rsidR="009A6074" w:rsidRDefault="009A6074" w:rsidP="007F2201">
      <w:pPr>
        <w:pStyle w:val="11"/>
        <w:spacing w:line="360" w:lineRule="auto"/>
        <w:jc w:val="both"/>
        <w:rPr>
          <w:rFonts w:ascii="David" w:hAnsi="David" w:cs="David"/>
          <w:sz w:val="24"/>
          <w:szCs w:val="24"/>
        </w:rPr>
      </w:pPr>
    </w:p>
    <w:p w14:paraId="6211A6D1" w14:textId="77777777" w:rsidR="009A6074" w:rsidRDefault="00000000" w:rsidP="00CE4AC5">
      <w:pPr>
        <w:pStyle w:val="11"/>
        <w:numPr>
          <w:ilvl w:val="0"/>
          <w:numId w:val="1"/>
        </w:numPr>
        <w:spacing w:line="360" w:lineRule="auto"/>
        <w:jc w:val="both"/>
        <w:rPr>
          <w:rFonts w:ascii="David" w:hAnsi="David" w:cs="David"/>
          <w:sz w:val="24"/>
          <w:szCs w:val="24"/>
        </w:rPr>
      </w:pPr>
      <w:r>
        <w:rPr>
          <w:rFonts w:ascii="David" w:hAnsi="David" w:cs="David"/>
          <w:sz w:val="24"/>
          <w:szCs w:val="24"/>
          <w:rtl/>
        </w:rPr>
        <w:t xml:space="preserve">העוררים עצמם טוענים כי בעניינם הזכות בקבוצת הרכישה הנה "זכות חליפית" לדירה הראשונה, כלומר, לשיטתם מדובר במקרה של שיפור מגורים, משכך סעיף קבוצת הרכישה אליו טוענים לא רלבנטי לעניינם. ועוד, העוררים קיבלו את ההקלה של משפרי הדיור על הדירה בקבוצת הרכישה ולמעשה הם מבקשים לקבל כעת ברכישת הדירה השלישית הקפאת שומת מס הרכישה, במקביל להקפאת השומה על רכישת הזכות בקבוצת הרכישה. פרשנות זו איננה סבירה. </w:t>
      </w:r>
    </w:p>
    <w:p w14:paraId="5A398634" w14:textId="77777777" w:rsidR="009A6074" w:rsidRPr="00F84CD2" w:rsidRDefault="009A6074" w:rsidP="00F84CD2">
      <w:pPr>
        <w:pStyle w:val="11"/>
        <w:rPr>
          <w:rFonts w:ascii="David" w:hAnsi="David" w:cs="David"/>
          <w:sz w:val="24"/>
          <w:szCs w:val="24"/>
          <w:rtl/>
        </w:rPr>
      </w:pPr>
    </w:p>
    <w:p w14:paraId="6BDE5068" w14:textId="77777777" w:rsidR="009A6074" w:rsidRPr="00F84CD2" w:rsidRDefault="00000000" w:rsidP="00CE4AC5">
      <w:pPr>
        <w:pStyle w:val="11"/>
        <w:numPr>
          <w:ilvl w:val="0"/>
          <w:numId w:val="1"/>
        </w:numPr>
        <w:spacing w:line="360" w:lineRule="auto"/>
        <w:jc w:val="both"/>
        <w:rPr>
          <w:rFonts w:ascii="David" w:hAnsi="David" w:cs="David"/>
          <w:sz w:val="24"/>
          <w:szCs w:val="24"/>
        </w:rPr>
      </w:pPr>
      <w:r w:rsidRPr="00F84CD2">
        <w:rPr>
          <w:rFonts w:ascii="David" w:hAnsi="David" w:cs="David"/>
          <w:sz w:val="24"/>
          <w:szCs w:val="24"/>
          <w:rtl/>
        </w:rPr>
        <w:t xml:space="preserve">לפיכך, העוררים אינם באים בגדרו של </w:t>
      </w:r>
      <w:hyperlink r:id="rId47" w:history="1">
        <w:r w:rsidR="00E32C0E" w:rsidRPr="00E32C0E">
          <w:rPr>
            <w:rStyle w:val="Hyperlink"/>
            <w:rFonts w:ascii="David" w:hAnsi="David" w:cs="David"/>
            <w:sz w:val="24"/>
            <w:szCs w:val="24"/>
            <w:rtl/>
          </w:rPr>
          <w:t>סעיף 9(ג1ג)(2)(ב1)</w:t>
        </w:r>
      </w:hyperlink>
      <w:r w:rsidRPr="00F84CD2">
        <w:rPr>
          <w:rFonts w:ascii="David" w:hAnsi="David" w:cs="David"/>
          <w:sz w:val="24"/>
          <w:szCs w:val="24"/>
          <w:rtl/>
        </w:rPr>
        <w:t xml:space="preserve"> שנוסף בתיקון </w:t>
      </w:r>
      <w:r>
        <w:rPr>
          <w:rFonts w:ascii="David" w:hAnsi="David" w:cs="David"/>
          <w:sz w:val="24"/>
          <w:szCs w:val="24"/>
          <w:rtl/>
        </w:rPr>
        <w:t xml:space="preserve">93 </w:t>
      </w:r>
      <w:r w:rsidRPr="00F84CD2">
        <w:rPr>
          <w:rFonts w:ascii="David" w:hAnsi="David" w:cs="David"/>
          <w:sz w:val="24"/>
          <w:szCs w:val="24"/>
          <w:rtl/>
        </w:rPr>
        <w:t xml:space="preserve">לחוק, שכן בעת רכישת הדירה בקבוצת הרכישה הייתה בבעלותם הדירה הראשונה. אין מקום להרחיב את תחולת ההקלה למקרים אחרים, כבעניינם של העוררים, שאינם עומדים בהוראות </w:t>
      </w:r>
      <w:r>
        <w:rPr>
          <w:rFonts w:ascii="David" w:hAnsi="David" w:cs="David"/>
          <w:sz w:val="24"/>
          <w:szCs w:val="24"/>
          <w:rtl/>
        </w:rPr>
        <w:t>המפורשות של החוק</w:t>
      </w:r>
      <w:r w:rsidRPr="00F84CD2">
        <w:rPr>
          <w:rFonts w:ascii="David" w:hAnsi="David" w:cs="David"/>
          <w:sz w:val="24"/>
          <w:szCs w:val="24"/>
          <w:rtl/>
        </w:rPr>
        <w:t>.</w:t>
      </w:r>
    </w:p>
    <w:p w14:paraId="4ABF859D" w14:textId="77777777" w:rsidR="009A6074" w:rsidRDefault="00000000" w:rsidP="007F2201">
      <w:pPr>
        <w:spacing w:line="360" w:lineRule="auto"/>
        <w:jc w:val="both"/>
        <w:rPr>
          <w:rFonts w:ascii="David" w:hAnsi="David"/>
          <w:noProof w:val="0"/>
          <w:u w:val="single"/>
          <w:rtl/>
        </w:rPr>
      </w:pPr>
      <w:r>
        <w:rPr>
          <w:rFonts w:ascii="David" w:hAnsi="David"/>
          <w:noProof w:val="0"/>
          <w:u w:val="single"/>
          <w:rtl/>
        </w:rPr>
        <w:t>התנהלות המשיב וסמכותו</w:t>
      </w:r>
    </w:p>
    <w:p w14:paraId="3075BE2A" w14:textId="77777777" w:rsidR="009A6074" w:rsidRDefault="00000000" w:rsidP="00B848B7">
      <w:pPr>
        <w:pStyle w:val="11"/>
        <w:numPr>
          <w:ilvl w:val="0"/>
          <w:numId w:val="1"/>
        </w:numPr>
        <w:spacing w:line="360" w:lineRule="auto"/>
        <w:jc w:val="both"/>
        <w:rPr>
          <w:rFonts w:ascii="David" w:hAnsi="David" w:cs="David"/>
          <w:sz w:val="24"/>
          <w:szCs w:val="24"/>
        </w:rPr>
      </w:pPr>
      <w:r>
        <w:rPr>
          <w:rFonts w:ascii="David" w:hAnsi="David" w:cs="David"/>
          <w:sz w:val="24"/>
          <w:szCs w:val="24"/>
          <w:rtl/>
        </w:rPr>
        <w:t xml:space="preserve">לטענת העוררים, החלטת המשיב לתקן את השומה, נעשתה שלא בסמכות. כך לדידם, לא מדובר בטעות או בעובדות חדשות שנתגלו, ההחלטה ניתנה שנתיים לאחר מתן ההחלטה הראשונה, ומבלי שפורטו שיקולים המצדיקים את הפגיעה בהסתמכות העוררים על ההחלטה הראשונה. בהמשך לכך טענו העוררים, כי בטרם מתן ההחלטה השנייה לא ניתנה להם זכות טיעון, או הזדמנות כלשהי לשטוח את טענותיהם ולהסביר את עמדתם, דבר המצביע ביתר שאת על ההתנהלות שלא כדין מצד המשיב. בנוסף, אחת מהטענות המרכזיות שהעלו העוררים, הייתה כי סיבת חזרתו של המשיב מההחלטה הראשונה נעוצה בהפסד המשיב לעוררים בפסק הדין מיום 17.1.2019. כך לטענתם, מדובר בנקמנות ובשקילת שיקולים זרים בקבלת החלטה על ידי רשות ציבורית. </w:t>
      </w:r>
      <w:r w:rsidRPr="00F84CD2">
        <w:rPr>
          <w:rFonts w:ascii="David" w:hAnsi="David" w:cs="David"/>
          <w:sz w:val="24"/>
          <w:szCs w:val="24"/>
          <w:rtl/>
        </w:rPr>
        <w:t xml:space="preserve">אקדים ואומר, כי לא מצאתי לנכון לקבל אף אחת מטענות אלו של העוררים. </w:t>
      </w:r>
    </w:p>
    <w:p w14:paraId="300D1AD7" w14:textId="77777777" w:rsidR="009A6074" w:rsidRPr="00F84CD2" w:rsidRDefault="009A6074" w:rsidP="00F84CD2">
      <w:pPr>
        <w:pStyle w:val="11"/>
        <w:spacing w:line="360" w:lineRule="auto"/>
        <w:jc w:val="both"/>
        <w:rPr>
          <w:rFonts w:ascii="David" w:hAnsi="David" w:cs="David"/>
          <w:sz w:val="24"/>
          <w:szCs w:val="24"/>
        </w:rPr>
      </w:pPr>
    </w:p>
    <w:p w14:paraId="01CB6BD2" w14:textId="77777777" w:rsidR="009A6074" w:rsidRPr="00D7556D" w:rsidRDefault="00000000" w:rsidP="00B848B7">
      <w:pPr>
        <w:pStyle w:val="11"/>
        <w:numPr>
          <w:ilvl w:val="0"/>
          <w:numId w:val="1"/>
        </w:numPr>
        <w:spacing w:line="360" w:lineRule="auto"/>
        <w:jc w:val="both"/>
        <w:rPr>
          <w:rFonts w:ascii="David" w:hAnsi="David" w:cs="David"/>
          <w:sz w:val="24"/>
          <w:szCs w:val="24"/>
        </w:rPr>
      </w:pPr>
      <w:r>
        <w:rPr>
          <w:rFonts w:ascii="David" w:hAnsi="David" w:cs="David"/>
          <w:sz w:val="24"/>
          <w:szCs w:val="24"/>
          <w:rtl/>
        </w:rPr>
        <w:t xml:space="preserve">כמובא לעיל, לפי </w:t>
      </w:r>
      <w:hyperlink r:id="rId48" w:history="1">
        <w:r w:rsidR="00E32C0E" w:rsidRPr="00E32C0E">
          <w:rPr>
            <w:rStyle w:val="Hyperlink"/>
            <w:rFonts w:ascii="David" w:hAnsi="David" w:cs="David"/>
            <w:sz w:val="24"/>
            <w:szCs w:val="24"/>
            <w:rtl/>
          </w:rPr>
          <w:t>סעיף 85(3)</w:t>
        </w:r>
      </w:hyperlink>
      <w:r w:rsidR="007E07D4">
        <w:rPr>
          <w:rFonts w:ascii="David" w:hAnsi="David" w:cs="David"/>
          <w:sz w:val="24"/>
          <w:szCs w:val="24"/>
          <w:rtl/>
        </w:rPr>
        <w:t xml:space="preserve"> </w:t>
      </w:r>
      <w:r>
        <w:rPr>
          <w:rFonts w:ascii="David" w:hAnsi="David" w:cs="David"/>
          <w:sz w:val="24"/>
          <w:szCs w:val="24"/>
          <w:rtl/>
        </w:rPr>
        <w:t>לחוק, במידה וסבור המשיב כי נפלה טעות בשומה המקורית, בסמכותו ואף מחובתו לתקן את הטעות, על מנת לממש את עקרון מס האמת. במקרה דנא, אין כל ספק כי בהחלטה הראשונה נפלה טעות, שכן כאמור לעיל, העוררים היו בעלי דירת מגורים בטרם רכישת הזכות בקבוצת הרכישה.</w:t>
      </w:r>
      <w:r>
        <w:rPr>
          <w:rFonts w:ascii="David" w:hAnsi="David" w:cs="David"/>
          <w:spacing w:val="10"/>
          <w:sz w:val="24"/>
          <w:szCs w:val="24"/>
          <w:shd w:val="clear" w:color="auto" w:fill="FFFFFF"/>
          <w:rtl/>
        </w:rPr>
        <w:t xml:space="preserve"> </w:t>
      </w:r>
      <w:r>
        <w:rPr>
          <w:rFonts w:ascii="David" w:hAnsi="David" w:cs="David"/>
          <w:sz w:val="24"/>
          <w:szCs w:val="24"/>
          <w:rtl/>
        </w:rPr>
        <w:t>ויודגש, העוררים ביקשו לתקן את השומה העצמית לאחר תיקון מספר 93 לחוק, ובשל טעות של המשיב, ניתנה החלטה המאשרת את התיקון המבוקש. ברי כי כאשר העוררים אינם זכאים להקלת מס ברכישת הדירה השלישית, אין מקום להנציח את הטעות בשומה.</w:t>
      </w:r>
    </w:p>
    <w:p w14:paraId="73F4163A" w14:textId="77777777" w:rsidR="009A6074" w:rsidRPr="00D7556D" w:rsidRDefault="009A6074" w:rsidP="00D7556D">
      <w:pPr>
        <w:pStyle w:val="11"/>
        <w:rPr>
          <w:rFonts w:ascii="David" w:hAnsi="David" w:cs="David"/>
          <w:spacing w:val="10"/>
          <w:sz w:val="24"/>
          <w:szCs w:val="24"/>
          <w:highlight w:val="yellow"/>
          <w:shd w:val="clear" w:color="auto" w:fill="FFFFFF"/>
          <w:rtl/>
        </w:rPr>
      </w:pPr>
    </w:p>
    <w:p w14:paraId="76059F16" w14:textId="77777777" w:rsidR="009A6074" w:rsidRPr="00DF7252" w:rsidRDefault="00000000" w:rsidP="00B848B7">
      <w:pPr>
        <w:pStyle w:val="11"/>
        <w:numPr>
          <w:ilvl w:val="0"/>
          <w:numId w:val="1"/>
        </w:numPr>
        <w:spacing w:line="360" w:lineRule="auto"/>
        <w:jc w:val="both"/>
        <w:rPr>
          <w:rFonts w:ascii="David" w:hAnsi="David" w:cs="David"/>
          <w:sz w:val="24"/>
          <w:szCs w:val="24"/>
        </w:rPr>
      </w:pPr>
      <w:r>
        <w:rPr>
          <w:rFonts w:ascii="David" w:hAnsi="David" w:cs="David"/>
          <w:spacing w:val="10"/>
          <w:sz w:val="24"/>
          <w:szCs w:val="24"/>
          <w:shd w:val="clear" w:color="auto" w:fill="FFFFFF"/>
          <w:rtl/>
        </w:rPr>
        <w:t xml:space="preserve">לעניין טענת העוררים לפגיעה בעקרון ההסתמכות, יצוין כי מדובר בהרחבת חזית אסורה. העוררים העלו טענה זו לראשונה במסגרת הסיכומים. אף לגופו של עניין, נראה שאין בטענה זו ממש. ראשית, מדובר במצב בו השומה עובר להחלטה הייתה מוקפאת בלבד. שנית, מתצהיר העורר לא עולה טענה שהסתמך על ההחלטה הראשונה, או טענה לשינוי במצבו בעקבות החלטת המשיב. שלישית, המחוקק </w:t>
      </w:r>
      <w:hyperlink r:id="rId49" w:history="1">
        <w:r w:rsidR="00E32C0E" w:rsidRPr="00E32C0E">
          <w:rPr>
            <w:rStyle w:val="Hyperlink"/>
            <w:rFonts w:ascii="David" w:hAnsi="David" w:cs="David"/>
            <w:spacing w:val="10"/>
            <w:sz w:val="24"/>
            <w:szCs w:val="24"/>
            <w:shd w:val="clear" w:color="auto" w:fill="FFFFFF"/>
            <w:rtl/>
          </w:rPr>
          <w:t>בסעיף 85</w:t>
        </w:r>
      </w:hyperlink>
      <w:r>
        <w:rPr>
          <w:rFonts w:ascii="David" w:hAnsi="David" w:cs="David"/>
          <w:spacing w:val="10"/>
          <w:sz w:val="24"/>
          <w:szCs w:val="24"/>
          <w:shd w:val="clear" w:color="auto" w:fill="FFFFFF"/>
          <w:rtl/>
        </w:rPr>
        <w:t xml:space="preserve"> נתן דעתו לכך שהמנהל רשאי לבצע את התיקון בתוך 4 שנים, לפיכך הסתמכות העוררים על הזמן שחלף (שנתיים לערך) אינה שוללת את סמכות התיקון.</w:t>
      </w:r>
    </w:p>
    <w:p w14:paraId="50B5150A" w14:textId="77777777" w:rsidR="009A6074" w:rsidRPr="00B848B7" w:rsidRDefault="009A6074" w:rsidP="00DF7252">
      <w:pPr>
        <w:pStyle w:val="11"/>
        <w:rPr>
          <w:rFonts w:ascii="David" w:hAnsi="David" w:cs="David"/>
          <w:spacing w:val="10"/>
          <w:sz w:val="24"/>
          <w:szCs w:val="24"/>
          <w:shd w:val="clear" w:color="auto" w:fill="FFFFFF"/>
          <w:rtl/>
        </w:rPr>
      </w:pPr>
    </w:p>
    <w:p w14:paraId="4DF4F8D3" w14:textId="77777777" w:rsidR="009A6074" w:rsidRPr="00F72327" w:rsidRDefault="00000000" w:rsidP="00CB6799">
      <w:pPr>
        <w:pStyle w:val="11"/>
        <w:numPr>
          <w:ilvl w:val="0"/>
          <w:numId w:val="1"/>
        </w:numPr>
        <w:spacing w:line="360" w:lineRule="auto"/>
        <w:jc w:val="both"/>
        <w:rPr>
          <w:rFonts w:ascii="David" w:hAnsi="David" w:cs="David"/>
          <w:sz w:val="24"/>
          <w:szCs w:val="24"/>
        </w:rPr>
      </w:pPr>
      <w:r w:rsidRPr="00426FB2">
        <w:rPr>
          <w:rFonts w:ascii="David" w:hAnsi="David" w:cs="David"/>
          <w:spacing w:val="10"/>
          <w:sz w:val="24"/>
          <w:szCs w:val="24"/>
          <w:shd w:val="clear" w:color="auto" w:fill="FFFFFF"/>
          <w:rtl/>
        </w:rPr>
        <w:t>בהתחשב בשיקולים הצריכים לעניין, מצאתי כי לא הייתה מניעה שהמשיב יפעיל את סמכות התיקון הנתונה לו לפי</w:t>
      </w:r>
      <w:r w:rsidR="007E07D4">
        <w:rPr>
          <w:rFonts w:ascii="David" w:hAnsi="David" w:cs="David"/>
          <w:spacing w:val="10"/>
          <w:sz w:val="24"/>
          <w:szCs w:val="24"/>
          <w:shd w:val="clear" w:color="auto" w:fill="FFFFFF"/>
          <w:rtl/>
        </w:rPr>
        <w:t xml:space="preserve"> </w:t>
      </w:r>
      <w:hyperlink r:id="rId50" w:history="1">
        <w:r w:rsidR="00E32C0E" w:rsidRPr="00E32C0E">
          <w:rPr>
            <w:rStyle w:val="Hyperlink"/>
            <w:rFonts w:ascii="David" w:hAnsi="David" w:cs="David"/>
            <w:spacing w:val="10"/>
            <w:sz w:val="24"/>
            <w:szCs w:val="24"/>
            <w:shd w:val="clear" w:color="auto" w:fill="FFFFFF"/>
            <w:rtl/>
          </w:rPr>
          <w:t>סעיף 85</w:t>
        </w:r>
      </w:hyperlink>
      <w:r w:rsidR="007E07D4">
        <w:rPr>
          <w:rFonts w:ascii="David" w:hAnsi="David" w:cs="David"/>
          <w:spacing w:val="10"/>
          <w:sz w:val="24"/>
          <w:szCs w:val="24"/>
          <w:shd w:val="clear" w:color="auto" w:fill="FFFFFF"/>
        </w:rPr>
        <w:t xml:space="preserve"> </w:t>
      </w:r>
      <w:r w:rsidRPr="00426FB2">
        <w:rPr>
          <w:rFonts w:ascii="David" w:hAnsi="David" w:cs="David"/>
          <w:spacing w:val="10"/>
          <w:sz w:val="24"/>
          <w:szCs w:val="24"/>
          <w:shd w:val="clear" w:color="auto" w:fill="FFFFFF"/>
          <w:rtl/>
        </w:rPr>
        <w:t>ל</w:t>
      </w:r>
      <w:hyperlink r:id="rId51" w:history="1">
        <w:r w:rsidR="00E32C0E" w:rsidRPr="00E32C0E">
          <w:rPr>
            <w:rStyle w:val="Hyperlink"/>
            <w:rFonts w:ascii="David" w:hAnsi="David" w:cs="David"/>
            <w:spacing w:val="10"/>
            <w:sz w:val="24"/>
            <w:szCs w:val="24"/>
            <w:shd w:val="clear" w:color="auto" w:fill="FFFFFF"/>
            <w:rtl/>
          </w:rPr>
          <w:t>חוק מיסוי מקרקעין</w:t>
        </w:r>
      </w:hyperlink>
      <w:r w:rsidRPr="00426FB2">
        <w:rPr>
          <w:rFonts w:ascii="David" w:hAnsi="David" w:cs="David"/>
          <w:spacing w:val="10"/>
          <w:sz w:val="24"/>
          <w:szCs w:val="24"/>
          <w:shd w:val="clear" w:color="auto" w:fill="FFFFFF"/>
        </w:rPr>
        <w:t>.</w:t>
      </w:r>
      <w:r w:rsidRPr="00426FB2">
        <w:rPr>
          <w:rFonts w:ascii="David" w:hAnsi="David" w:cs="David"/>
          <w:sz w:val="24"/>
          <w:szCs w:val="24"/>
          <w:rtl/>
        </w:rPr>
        <w:t xml:space="preserve"> לפיכך, אין לקבל את טענת העוררים בדבר הסתמכות על השומה המקורית.</w:t>
      </w:r>
    </w:p>
    <w:p w14:paraId="49FA8879" w14:textId="77777777" w:rsidR="009A6074" w:rsidRPr="00DF7252" w:rsidRDefault="009A6074" w:rsidP="00EA60C6">
      <w:pPr>
        <w:pStyle w:val="11"/>
        <w:rPr>
          <w:rFonts w:ascii="David" w:hAnsi="David" w:cs="David"/>
          <w:sz w:val="24"/>
          <w:szCs w:val="24"/>
          <w:rtl/>
        </w:rPr>
      </w:pPr>
    </w:p>
    <w:p w14:paraId="2B527149" w14:textId="77777777" w:rsidR="009A6074" w:rsidRDefault="00000000" w:rsidP="00EA60C6">
      <w:pPr>
        <w:pStyle w:val="11"/>
        <w:numPr>
          <w:ilvl w:val="0"/>
          <w:numId w:val="1"/>
        </w:numPr>
        <w:spacing w:line="360" w:lineRule="auto"/>
        <w:jc w:val="both"/>
        <w:rPr>
          <w:rFonts w:ascii="David" w:hAnsi="David" w:cs="David"/>
          <w:sz w:val="24"/>
          <w:szCs w:val="24"/>
        </w:rPr>
      </w:pPr>
      <w:r>
        <w:rPr>
          <w:rFonts w:ascii="David" w:hAnsi="David" w:cs="David"/>
          <w:sz w:val="24"/>
          <w:szCs w:val="24"/>
          <w:rtl/>
        </w:rPr>
        <w:t>בהחלטת המשיב אכן לא צוין הסעיף הקטן שמכוחו תוקנה השומה, אך מקריאת ההחלטה ברי שהתיקון נעשה נוכח טעות בשומה. בנוסף, המדובר בפגם שולי, שאינו מהותי ואין מקום לבטל את השומה בגינו.</w:t>
      </w:r>
    </w:p>
    <w:p w14:paraId="14D0C381" w14:textId="77777777" w:rsidR="009A6074" w:rsidRPr="00AA417C" w:rsidRDefault="009A6074" w:rsidP="00AA417C">
      <w:pPr>
        <w:pStyle w:val="11"/>
        <w:rPr>
          <w:rFonts w:ascii="David" w:hAnsi="David" w:cs="David"/>
          <w:sz w:val="24"/>
          <w:szCs w:val="24"/>
          <w:rtl/>
        </w:rPr>
      </w:pPr>
    </w:p>
    <w:p w14:paraId="27E8F85E" w14:textId="77777777" w:rsidR="009A6074" w:rsidRPr="00F72327" w:rsidRDefault="00000000" w:rsidP="00F72327">
      <w:pPr>
        <w:pStyle w:val="11"/>
        <w:numPr>
          <w:ilvl w:val="0"/>
          <w:numId w:val="1"/>
        </w:numPr>
        <w:spacing w:line="360" w:lineRule="auto"/>
        <w:jc w:val="both"/>
        <w:rPr>
          <w:rFonts w:ascii="David" w:hAnsi="David" w:cs="David"/>
          <w:sz w:val="24"/>
          <w:szCs w:val="24"/>
          <w:rtl/>
        </w:rPr>
      </w:pPr>
      <w:r>
        <w:rPr>
          <w:rFonts w:ascii="David" w:hAnsi="David" w:cs="David"/>
          <w:sz w:val="24"/>
          <w:szCs w:val="24"/>
          <w:rtl/>
        </w:rPr>
        <w:t>יצוין גם, כי אין ממש</w:t>
      </w:r>
      <w:r w:rsidRPr="00AA417C">
        <w:rPr>
          <w:rFonts w:ascii="David" w:hAnsi="David" w:cs="David"/>
          <w:sz w:val="24"/>
          <w:szCs w:val="24"/>
          <w:rtl/>
        </w:rPr>
        <w:t xml:space="preserve"> </w:t>
      </w:r>
      <w:r>
        <w:rPr>
          <w:rFonts w:ascii="David" w:hAnsi="David" w:cs="David"/>
          <w:sz w:val="24"/>
          <w:szCs w:val="24"/>
          <w:rtl/>
        </w:rPr>
        <w:t>ב</w:t>
      </w:r>
      <w:r w:rsidRPr="00AA417C">
        <w:rPr>
          <w:rFonts w:ascii="David" w:hAnsi="David" w:cs="David"/>
          <w:sz w:val="24"/>
          <w:szCs w:val="24"/>
          <w:rtl/>
        </w:rPr>
        <w:t>טענות העוררים לפגיעה בזכות הטיעון, טענה אשר נזנחה בסיכומיהם</w:t>
      </w:r>
      <w:r>
        <w:rPr>
          <w:rFonts w:ascii="David" w:hAnsi="David" w:cs="David"/>
          <w:sz w:val="24"/>
          <w:szCs w:val="24"/>
          <w:rtl/>
        </w:rPr>
        <w:t xml:space="preserve">. </w:t>
      </w:r>
      <w:hyperlink r:id="rId52" w:history="1">
        <w:r w:rsidR="00E32C0E" w:rsidRPr="00E32C0E">
          <w:rPr>
            <w:rStyle w:val="Hyperlink"/>
            <w:rFonts w:ascii="David" w:hAnsi="David" w:cs="David"/>
            <w:sz w:val="24"/>
            <w:szCs w:val="24"/>
            <w:rtl/>
          </w:rPr>
          <w:t>בסעיף 85</w:t>
        </w:r>
      </w:hyperlink>
      <w:r>
        <w:rPr>
          <w:rFonts w:ascii="David" w:hAnsi="David" w:cs="David"/>
          <w:sz w:val="24"/>
          <w:szCs w:val="24"/>
          <w:rtl/>
        </w:rPr>
        <w:t xml:space="preserve"> אין קביעה כי יש לשמוע את הנישום בטרם קבלת ההחלטה על תיקון השומה, בניגוד </w:t>
      </w:r>
      <w:hyperlink r:id="rId53" w:history="1">
        <w:r w:rsidR="00E32C0E" w:rsidRPr="00E32C0E">
          <w:rPr>
            <w:rStyle w:val="Hyperlink"/>
            <w:rFonts w:ascii="David" w:hAnsi="David" w:cs="David"/>
            <w:sz w:val="24"/>
            <w:szCs w:val="24"/>
            <w:rtl/>
          </w:rPr>
          <w:t>לסעיף 87</w:t>
        </w:r>
      </w:hyperlink>
      <w:r>
        <w:rPr>
          <w:rFonts w:ascii="David" w:hAnsi="David" w:cs="David"/>
          <w:sz w:val="24"/>
          <w:szCs w:val="24"/>
          <w:rtl/>
        </w:rPr>
        <w:t xml:space="preserve"> לחוק, שקובע את זכות ההשגה גם על השומה המתוקנת. ויוטעם, בענייננו סירבו העוררים להצעת ב"כ המשיב להגיש השגה על השומה שתוקנה, ואין להם אלא להלין על עצמם.</w:t>
      </w:r>
    </w:p>
    <w:p w14:paraId="2F8CF315" w14:textId="77777777" w:rsidR="009A6074" w:rsidRPr="00426FB2" w:rsidRDefault="009A6074" w:rsidP="00426FB2">
      <w:pPr>
        <w:pStyle w:val="11"/>
        <w:rPr>
          <w:rFonts w:ascii="David" w:hAnsi="David" w:cs="David"/>
          <w:sz w:val="24"/>
          <w:szCs w:val="24"/>
          <w:rtl/>
        </w:rPr>
      </w:pPr>
    </w:p>
    <w:p w14:paraId="4D564AAA" w14:textId="77777777" w:rsidR="009A6074" w:rsidRDefault="00000000" w:rsidP="00B848B7">
      <w:pPr>
        <w:pStyle w:val="11"/>
        <w:numPr>
          <w:ilvl w:val="0"/>
          <w:numId w:val="1"/>
        </w:numPr>
        <w:spacing w:line="360" w:lineRule="auto"/>
        <w:jc w:val="both"/>
        <w:rPr>
          <w:rFonts w:ascii="David" w:hAnsi="David" w:cs="David"/>
          <w:sz w:val="24"/>
          <w:szCs w:val="24"/>
        </w:rPr>
      </w:pPr>
      <w:r>
        <w:rPr>
          <w:rFonts w:ascii="David" w:hAnsi="David" w:cs="David"/>
          <w:sz w:val="24"/>
          <w:szCs w:val="24"/>
          <w:rtl/>
        </w:rPr>
        <w:t xml:space="preserve">טענת העוררים לפיה המשיב מתעמר בהם בשל הפסדו בתיק אחר שניהלו העוררים נגדו, מרחיקת לכת ומייחסת למשיב שיקולים זרים והחלטה שאינה עניינית. על מנת לסתור את חזקת התקינות המנהלית, על הטוען להצטייד בראיות ולא בספקולציות. לאחר שעיינתי בחומרים שהוגשו בפני </w:t>
      </w:r>
      <w:r w:rsidRPr="007A1637">
        <w:rPr>
          <w:rFonts w:ascii="David" w:hAnsi="David" w:cs="David"/>
          <w:sz w:val="24"/>
          <w:szCs w:val="24"/>
          <w:rtl/>
        </w:rPr>
        <w:t>הוועדה, מצאתי כי העוררים לא</w:t>
      </w:r>
      <w:r>
        <w:rPr>
          <w:rFonts w:ascii="David" w:hAnsi="David" w:cs="David"/>
          <w:sz w:val="24"/>
          <w:szCs w:val="24"/>
          <w:rtl/>
        </w:rPr>
        <w:t xml:space="preserve"> העמידו </w:t>
      </w:r>
      <w:r w:rsidRPr="007A1637">
        <w:rPr>
          <w:rFonts w:ascii="David" w:hAnsi="David" w:cs="David"/>
          <w:sz w:val="24"/>
          <w:szCs w:val="24"/>
          <w:rtl/>
        </w:rPr>
        <w:t xml:space="preserve">תשתית עובדתית מספקת להרמת נטל ההוכחה ביחס לטענותיהם הקשות נגד התנהלות המשיב. אין לעוררים כל ראיה לקיומם של שיקולים זרים למעט </w:t>
      </w:r>
      <w:r>
        <w:rPr>
          <w:rFonts w:ascii="David" w:hAnsi="David" w:cs="David"/>
          <w:sz w:val="24"/>
          <w:szCs w:val="24"/>
          <w:rtl/>
        </w:rPr>
        <w:t>התסכול שחשו על תיקון השומה והקישור שעשו בין החלטת התיקון לבין פסק הדין מיום 17.1.19.</w:t>
      </w:r>
    </w:p>
    <w:p w14:paraId="027B3407" w14:textId="77777777" w:rsidR="009A6074" w:rsidRPr="00136142" w:rsidRDefault="009A6074" w:rsidP="00136142">
      <w:pPr>
        <w:pStyle w:val="11"/>
        <w:rPr>
          <w:rFonts w:ascii="David" w:hAnsi="David" w:cs="David"/>
          <w:sz w:val="24"/>
          <w:szCs w:val="24"/>
          <w:rtl/>
        </w:rPr>
      </w:pPr>
    </w:p>
    <w:p w14:paraId="4B87A2F8" w14:textId="77777777" w:rsidR="009A6074" w:rsidRPr="00136142" w:rsidRDefault="00000000" w:rsidP="00B848B7">
      <w:pPr>
        <w:pStyle w:val="11"/>
        <w:numPr>
          <w:ilvl w:val="0"/>
          <w:numId w:val="1"/>
        </w:numPr>
        <w:spacing w:line="360" w:lineRule="auto"/>
        <w:jc w:val="both"/>
        <w:rPr>
          <w:rFonts w:ascii="David" w:hAnsi="David" w:cs="David"/>
          <w:sz w:val="24"/>
          <w:szCs w:val="24"/>
          <w:rtl/>
        </w:rPr>
      </w:pPr>
      <w:r>
        <w:rPr>
          <w:rFonts w:ascii="David" w:hAnsi="David" w:cs="David"/>
          <w:sz w:val="24"/>
          <w:szCs w:val="24"/>
          <w:rtl/>
        </w:rPr>
        <w:t xml:space="preserve">ואוסיף, העוררים טוענים כי בהחלטתו השנייה, חזר בו המשיב מהחלטתו הראשונה במובן ששינה את עמדתו. תיאור זה אינה מדויק- הנכון בענייננו הוא כי המשיב נפל לכדי טעות ביישום הדין ותיקן אותה במסגרת השומה נשואת הערר. </w:t>
      </w:r>
      <w:r w:rsidRPr="00D54E55">
        <w:rPr>
          <w:rFonts w:ascii="David" w:hAnsi="David" w:cs="David"/>
          <w:sz w:val="24"/>
          <w:szCs w:val="24"/>
          <w:rtl/>
        </w:rPr>
        <w:t>בתצהיר מטעם המשיב נכתב כי תיקון השומה נעשה בעקבות יישום פסק דין 27213-02-19 על ידי המשיב. לפי המנהל בחקירתו, המחלקה המשפטית של רשות המסים עוברת על פסקי הדין שיוצאים מבית המשפט, וכנראה לאחר ניתוח פסק הדין עלה כי נפלה טעות בשומה והלשכה במחוז ירושלים הופנתה לכך (עמוד 16</w:t>
      </w:r>
      <w:r>
        <w:rPr>
          <w:rFonts w:ascii="David" w:hAnsi="David" w:cs="David"/>
          <w:sz w:val="24"/>
          <w:szCs w:val="24"/>
          <w:rtl/>
        </w:rPr>
        <w:t xml:space="preserve"> לפרוטוקול</w:t>
      </w:r>
      <w:r w:rsidRPr="00D54E55">
        <w:rPr>
          <w:rFonts w:ascii="David" w:hAnsi="David" w:cs="David"/>
          <w:sz w:val="24"/>
          <w:szCs w:val="24"/>
          <w:rtl/>
        </w:rPr>
        <w:t xml:space="preserve">, שורות 3-8). </w:t>
      </w:r>
      <w:r>
        <w:rPr>
          <w:rFonts w:ascii="David" w:hAnsi="David" w:cs="David"/>
          <w:sz w:val="24"/>
          <w:szCs w:val="24"/>
          <w:rtl/>
        </w:rPr>
        <w:t xml:space="preserve">בהתאם, עובדת ההפסד או הזכייה בפסק הדין </w:t>
      </w:r>
      <w:r w:rsidRPr="00D54E55">
        <w:rPr>
          <w:rFonts w:ascii="David" w:hAnsi="David" w:cs="David"/>
          <w:sz w:val="24"/>
          <w:szCs w:val="24"/>
          <w:rtl/>
        </w:rPr>
        <w:t xml:space="preserve">27213-02-19 </w:t>
      </w:r>
      <w:r>
        <w:rPr>
          <w:rFonts w:ascii="David" w:hAnsi="David" w:cs="David"/>
          <w:sz w:val="24"/>
          <w:szCs w:val="24"/>
          <w:rtl/>
        </w:rPr>
        <w:t xml:space="preserve">אינה רלבנטית, שכן גם אם היו מפסידים העוררים בהליך זה, הייתה עין נוספת שבוחנת את פסק הדין ועשויה לשים לב לטעות. לפי המשיב בחקירתו, הוא לא נתן החלטתו כחותמת גומי להנחיה שקיבל ותיקון השומה נעשה על ידי יישום תנאים מפורשים הקבועים בחוק (עמוד 17 לפרוטוקול, שורות 4-7). </w:t>
      </w:r>
    </w:p>
    <w:p w14:paraId="2D83E74D" w14:textId="77777777" w:rsidR="009A6074" w:rsidRDefault="00000000" w:rsidP="007F2201">
      <w:pPr>
        <w:spacing w:line="360" w:lineRule="auto"/>
        <w:jc w:val="both"/>
        <w:rPr>
          <w:rFonts w:ascii="David" w:hAnsi="David"/>
          <w:b/>
          <w:bCs/>
          <w:noProof w:val="0"/>
          <w:u w:val="single"/>
          <w:rtl/>
        </w:rPr>
      </w:pPr>
      <w:r>
        <w:rPr>
          <w:rFonts w:ascii="David" w:hAnsi="David"/>
          <w:b/>
          <w:bCs/>
          <w:noProof w:val="0"/>
          <w:u w:val="single"/>
          <w:rtl/>
        </w:rPr>
        <w:t>סוף דבר</w:t>
      </w:r>
    </w:p>
    <w:p w14:paraId="384D5256" w14:textId="77777777" w:rsidR="009A6074" w:rsidRDefault="00000000" w:rsidP="00B848B7">
      <w:pPr>
        <w:pStyle w:val="11"/>
        <w:numPr>
          <w:ilvl w:val="0"/>
          <w:numId w:val="1"/>
        </w:numPr>
        <w:spacing w:line="360" w:lineRule="auto"/>
        <w:jc w:val="both"/>
        <w:rPr>
          <w:rFonts w:ascii="David" w:hAnsi="David" w:cs="David"/>
          <w:sz w:val="24"/>
          <w:szCs w:val="24"/>
        </w:rPr>
      </w:pPr>
      <w:r>
        <w:rPr>
          <w:rFonts w:ascii="David" w:hAnsi="David" w:cs="David"/>
          <w:sz w:val="24"/>
          <w:szCs w:val="24"/>
          <w:rtl/>
        </w:rPr>
        <w:t>לאור כל האמור לעיל, אציע לחברי הועדה לדחות את הערר ולקבוע כי שומת מס הרכישה המתוקנת תהיה כפי שקבע המשיב. כמו כן, ולאור התוצאה, אציע לחייב את העוררים בהוצאות ושכ"ט המשיב בסך כולל של 30,000 ₪ אשר ישולם תוך 45 ימים מהיום. לאחר מועד זה יתווספו לסכום הנ"ל הפרשי הצמדה וריבית כחוק.</w:t>
      </w:r>
    </w:p>
    <w:p w14:paraId="095C6D29" w14:textId="77777777" w:rsidR="009A6074" w:rsidRDefault="009A6074" w:rsidP="007F2201">
      <w:pPr>
        <w:spacing w:line="360" w:lineRule="auto"/>
        <w:jc w:val="both"/>
        <w:rPr>
          <w:rFonts w:ascii="David" w:hAnsi="David"/>
          <w:b/>
          <w:bCs/>
          <w:noProof w:val="0"/>
          <w:u w:val="single"/>
          <w:rtl/>
        </w:rPr>
      </w:pPr>
    </w:p>
    <w:p w14:paraId="39D46F0C" w14:textId="77777777" w:rsidR="009A6074" w:rsidRDefault="00000000" w:rsidP="007F2201">
      <w:pPr>
        <w:spacing w:line="360" w:lineRule="auto"/>
        <w:jc w:val="both"/>
        <w:rPr>
          <w:rFonts w:ascii="David" w:hAnsi="David"/>
          <w:b/>
          <w:bCs/>
          <w:noProof w:val="0"/>
          <w:u w:val="single"/>
          <w:rtl/>
        </w:rPr>
      </w:pPr>
      <w:r>
        <w:rPr>
          <w:rFonts w:ascii="David" w:hAnsi="David"/>
          <w:b/>
          <w:bCs/>
          <w:noProof w:val="0"/>
          <w:u w:val="single"/>
          <w:rtl/>
        </w:rPr>
        <w:t>חברת הועדה, גב' גבע בלטר:</w:t>
      </w:r>
    </w:p>
    <w:p w14:paraId="25B4FF32" w14:textId="77777777" w:rsidR="009A6074" w:rsidRPr="00F05BC6" w:rsidRDefault="00000000" w:rsidP="007F2201">
      <w:pPr>
        <w:spacing w:line="360" w:lineRule="auto"/>
        <w:jc w:val="both"/>
        <w:rPr>
          <w:rFonts w:ascii="David" w:hAnsi="David"/>
          <w:noProof w:val="0"/>
          <w:rtl/>
        </w:rPr>
      </w:pPr>
      <w:r w:rsidRPr="00F05BC6">
        <w:rPr>
          <w:rFonts w:ascii="David" w:hAnsi="David"/>
          <w:noProof w:val="0"/>
          <w:rtl/>
        </w:rPr>
        <w:t xml:space="preserve">אני </w:t>
      </w:r>
      <w:r>
        <w:rPr>
          <w:rFonts w:ascii="David" w:hAnsi="David"/>
          <w:noProof w:val="0"/>
          <w:rtl/>
        </w:rPr>
        <w:t>מצטרפת לאמור בפסק דינו של יו"ר הועדה, כב' השופט א' דורות.</w:t>
      </w:r>
    </w:p>
    <w:p w14:paraId="2BAEE0DB" w14:textId="77777777" w:rsidR="009A6074" w:rsidRDefault="009A6074" w:rsidP="007F2201">
      <w:pPr>
        <w:spacing w:line="360" w:lineRule="auto"/>
        <w:jc w:val="both"/>
        <w:rPr>
          <w:rFonts w:ascii="David" w:hAnsi="David"/>
          <w:b/>
          <w:bCs/>
          <w:noProof w:val="0"/>
          <w:highlight w:val="yellow"/>
          <w:u w:val="single"/>
          <w:rtl/>
        </w:rPr>
      </w:pPr>
    </w:p>
    <w:p w14:paraId="6EF4F42B" w14:textId="77777777" w:rsidR="009A6074" w:rsidRDefault="009A6074" w:rsidP="007F2201">
      <w:pPr>
        <w:spacing w:line="360" w:lineRule="auto"/>
        <w:jc w:val="both"/>
        <w:rPr>
          <w:rFonts w:ascii="David" w:hAnsi="David"/>
          <w:b/>
          <w:bCs/>
          <w:noProof w:val="0"/>
          <w:highlight w:val="yellow"/>
          <w:u w:val="single"/>
          <w:rtl/>
        </w:rPr>
      </w:pPr>
    </w:p>
    <w:p w14:paraId="464801D1" w14:textId="77777777" w:rsidR="009A6074" w:rsidRDefault="00000000" w:rsidP="003F31E8">
      <w:pPr>
        <w:spacing w:line="360" w:lineRule="auto"/>
        <w:jc w:val="both"/>
        <w:rPr>
          <w:rFonts w:ascii="David" w:hAnsi="David"/>
          <w:b/>
          <w:bCs/>
          <w:noProof w:val="0"/>
          <w:u w:val="single"/>
          <w:rtl/>
        </w:rPr>
      </w:pPr>
      <w:r>
        <w:rPr>
          <w:rFonts w:ascii="David" w:hAnsi="David"/>
          <w:b/>
          <w:bCs/>
          <w:noProof w:val="0"/>
          <w:u w:val="single"/>
          <w:rtl/>
        </w:rPr>
        <w:t>חבר הועדה, רו"ח שלמה מדהלה:</w:t>
      </w:r>
    </w:p>
    <w:p w14:paraId="537A93DA" w14:textId="77777777" w:rsidR="009A6074" w:rsidRPr="00F05BC6" w:rsidRDefault="00000000" w:rsidP="003F31E8">
      <w:pPr>
        <w:spacing w:line="360" w:lineRule="auto"/>
        <w:jc w:val="both"/>
        <w:rPr>
          <w:rFonts w:ascii="David" w:hAnsi="David"/>
          <w:noProof w:val="0"/>
          <w:rtl/>
        </w:rPr>
      </w:pPr>
      <w:r w:rsidRPr="00F05BC6">
        <w:rPr>
          <w:rFonts w:ascii="David" w:hAnsi="David"/>
          <w:noProof w:val="0"/>
          <w:rtl/>
        </w:rPr>
        <w:t>אני</w:t>
      </w:r>
      <w:r>
        <w:rPr>
          <w:rFonts w:ascii="David" w:hAnsi="David"/>
          <w:noProof w:val="0"/>
          <w:rtl/>
        </w:rPr>
        <w:t xml:space="preserve"> מסכים לפסק דינו של כב' השופט אביגדור דורות, יו"ר הועדה.</w:t>
      </w:r>
    </w:p>
    <w:p w14:paraId="208705BD" w14:textId="77777777" w:rsidR="009A6074" w:rsidRDefault="009A6074" w:rsidP="007F2201">
      <w:pPr>
        <w:spacing w:line="360" w:lineRule="auto"/>
        <w:jc w:val="both"/>
        <w:rPr>
          <w:rFonts w:ascii="David" w:hAnsi="David"/>
          <w:b/>
          <w:bCs/>
          <w:noProof w:val="0"/>
          <w:u w:val="single"/>
          <w:rtl/>
        </w:rPr>
      </w:pPr>
    </w:p>
    <w:p w14:paraId="76F3DA94" w14:textId="77777777" w:rsidR="009A6074" w:rsidRDefault="00000000" w:rsidP="007F2201">
      <w:pPr>
        <w:spacing w:line="360" w:lineRule="auto"/>
        <w:jc w:val="both"/>
        <w:rPr>
          <w:rFonts w:ascii="David" w:hAnsi="David"/>
          <w:noProof w:val="0"/>
          <w:rtl/>
        </w:rPr>
      </w:pPr>
      <w:r>
        <w:rPr>
          <w:rFonts w:ascii="David" w:hAnsi="David"/>
          <w:noProof w:val="0"/>
          <w:rtl/>
        </w:rPr>
        <w:t>כפועל יוצא מהאמור לעיל, הוחלט לדחות את הערר ולחייב את העוררים בהוצאות, כמפורט לעיל בפסקה 53 לפסק דינו של יו"ר הועדה.</w:t>
      </w:r>
    </w:p>
    <w:p w14:paraId="04156571" w14:textId="77777777" w:rsidR="009A6074" w:rsidRDefault="009A6074" w:rsidP="007F2201">
      <w:pPr>
        <w:spacing w:line="360" w:lineRule="auto"/>
        <w:jc w:val="both"/>
        <w:rPr>
          <w:rFonts w:ascii="David" w:hAnsi="David"/>
          <w:noProof w:val="0"/>
          <w:rtl/>
        </w:rPr>
      </w:pPr>
    </w:p>
    <w:p w14:paraId="43E15553" w14:textId="77777777" w:rsidR="009A6074" w:rsidRDefault="009A6074" w:rsidP="007F2201">
      <w:pPr>
        <w:spacing w:line="360" w:lineRule="auto"/>
        <w:jc w:val="both"/>
        <w:rPr>
          <w:rFonts w:ascii="Arial" w:hAnsi="Arial"/>
          <w:noProof w:val="0"/>
          <w:rtl/>
        </w:rPr>
      </w:pPr>
    </w:p>
    <w:p w14:paraId="3693309D" w14:textId="77777777" w:rsidR="009A6074" w:rsidRDefault="00000000" w:rsidP="007F2201">
      <w:pPr>
        <w:spacing w:line="360" w:lineRule="auto"/>
        <w:jc w:val="both"/>
        <w:rPr>
          <w:rFonts w:ascii="Arial" w:hAnsi="Arial"/>
          <w:b/>
          <w:bCs/>
          <w:noProof w:val="0"/>
          <w:u w:val="single"/>
          <w:rtl/>
        </w:rPr>
      </w:pPr>
      <w:r>
        <w:rPr>
          <w:rFonts w:ascii="Arial" w:hAnsi="Arial"/>
          <w:b/>
          <w:bCs/>
          <w:noProof w:val="0"/>
          <w:u w:val="single"/>
          <w:rtl/>
        </w:rPr>
        <w:t>המזכירות תמציא את פסק הדין לב"כ הצדדים.</w:t>
      </w:r>
    </w:p>
    <w:p w14:paraId="47BCBA3F" w14:textId="77777777" w:rsidR="009A6074" w:rsidRDefault="009A6074" w:rsidP="007F2201">
      <w:pPr>
        <w:spacing w:line="360" w:lineRule="auto"/>
        <w:jc w:val="both"/>
        <w:rPr>
          <w:rFonts w:ascii="Arial" w:hAnsi="Arial"/>
          <w:b/>
          <w:bCs/>
          <w:noProof w:val="0"/>
          <w:u w:val="single"/>
          <w:rtl/>
        </w:rPr>
      </w:pPr>
    </w:p>
    <w:p w14:paraId="2E41DA1B" w14:textId="77777777" w:rsidR="009A6074" w:rsidRDefault="007E07D4" w:rsidP="003F31E8">
      <w:pPr>
        <w:tabs>
          <w:tab w:val="left" w:pos="3390"/>
        </w:tabs>
        <w:spacing w:line="360" w:lineRule="auto"/>
        <w:jc w:val="both"/>
        <w:rPr>
          <w:rFonts w:ascii="Arial" w:hAnsi="Arial"/>
          <w:noProof w:val="0"/>
          <w:rtl/>
        </w:rPr>
      </w:pPr>
      <w:bookmarkStart w:id="7" w:name="Nitan"/>
      <w:r>
        <w:rPr>
          <w:rFonts w:ascii="Arial" w:hAnsi="Arial"/>
          <w:noProof w:val="0"/>
          <w:rtl/>
        </w:rPr>
        <w:t xml:space="preserve">ניתן היום,  ב' אדר תשפ"ה, 02 מרץ 2025, בהעדר הצדדים. </w:t>
      </w:r>
      <w:bookmarkEnd w:id="7"/>
      <w:r w:rsidR="00000000">
        <w:rPr>
          <w:rFonts w:ascii="Arial" w:hAnsi="Arial"/>
          <w:noProof w:val="0"/>
          <w:rtl/>
        </w:rPr>
        <w:tab/>
      </w:r>
    </w:p>
    <w:p w14:paraId="2F5901C5" w14:textId="77777777" w:rsidR="009A6074" w:rsidRPr="007E07D4" w:rsidRDefault="007E07D4" w:rsidP="002C2EFD">
      <w:pPr>
        <w:spacing w:line="360" w:lineRule="auto"/>
        <w:jc w:val="both"/>
        <w:rPr>
          <w:rFonts w:ascii="Arial" w:hAnsi="Arial"/>
          <w:noProof w:val="0"/>
          <w:color w:val="FFFFFF"/>
          <w:sz w:val="2"/>
          <w:szCs w:val="2"/>
        </w:rPr>
      </w:pPr>
      <w:r w:rsidRPr="007E07D4">
        <w:rPr>
          <w:rFonts w:ascii="Arial" w:hAnsi="Arial"/>
          <w:noProof w:val="0"/>
          <w:color w:val="FFFFFF"/>
          <w:sz w:val="2"/>
          <w:szCs w:val="2"/>
          <w:rtl/>
        </w:rPr>
        <w:t>5129371</w:t>
      </w:r>
    </w:p>
    <w:tbl>
      <w:tblPr>
        <w:bidiVisual/>
        <w:tblW w:w="0" w:type="auto"/>
        <w:tblBorders>
          <w:insideH w:val="single" w:sz="4" w:space="0" w:color="auto"/>
          <w:insideV w:val="single" w:sz="4" w:space="0" w:color="auto"/>
        </w:tblBorders>
        <w:tblLook w:val="01E0" w:firstRow="1" w:lastRow="1" w:firstColumn="1" w:lastColumn="1" w:noHBand="0" w:noVBand="0"/>
      </w:tblPr>
      <w:tblGrid>
        <w:gridCol w:w="2616"/>
        <w:gridCol w:w="2742"/>
        <w:gridCol w:w="2554"/>
      </w:tblGrid>
      <w:tr w:rsidR="00642785" w14:paraId="44647101" w14:textId="77777777" w:rsidTr="00E93106">
        <w:trPr>
          <w:trHeight w:val="364"/>
        </w:trPr>
        <w:tc>
          <w:tcPr>
            <w:tcW w:w="2616" w:type="dxa"/>
            <w:tcBorders>
              <w:top w:val="nil"/>
              <w:left w:val="nil"/>
              <w:right w:val="nil"/>
            </w:tcBorders>
          </w:tcPr>
          <w:p w14:paraId="04A5B2BE" w14:textId="77777777" w:rsidR="009A6074" w:rsidRPr="007E07D4" w:rsidRDefault="007E07D4" w:rsidP="00E93106">
            <w:pPr>
              <w:jc w:val="center"/>
              <w:rPr>
                <w:rFonts w:cs="Times New Roman"/>
                <w:noProof w:val="0"/>
                <w:color w:val="FFFFFF"/>
                <w:sz w:val="2"/>
                <w:szCs w:val="2"/>
                <w:rtl/>
              </w:rPr>
            </w:pPr>
            <w:r w:rsidRPr="007E07D4">
              <w:rPr>
                <w:rFonts w:cs="Times New Roman"/>
                <w:noProof w:val="0"/>
                <w:color w:val="FFFFFF"/>
                <w:sz w:val="2"/>
                <w:szCs w:val="2"/>
                <w:rtl/>
              </w:rPr>
              <w:t>54678313</w:t>
            </w:r>
          </w:p>
          <w:p w14:paraId="63C6E422" w14:textId="77777777" w:rsidR="009A6074" w:rsidRPr="00E93106" w:rsidRDefault="009A6074" w:rsidP="00E93106">
            <w:pPr>
              <w:jc w:val="center"/>
              <w:rPr>
                <w:sz w:val="26"/>
                <w:szCs w:val="26"/>
              </w:rPr>
            </w:pPr>
          </w:p>
        </w:tc>
        <w:tc>
          <w:tcPr>
            <w:tcW w:w="2742" w:type="dxa"/>
            <w:tcBorders>
              <w:top w:val="nil"/>
              <w:left w:val="nil"/>
              <w:right w:val="nil"/>
            </w:tcBorders>
            <w:vAlign w:val="center"/>
          </w:tcPr>
          <w:p w14:paraId="602AE6A2" w14:textId="77777777" w:rsidR="009A6074" w:rsidRPr="00E93106" w:rsidRDefault="009A6074" w:rsidP="00E93106">
            <w:pPr>
              <w:jc w:val="center"/>
              <w:rPr>
                <w:rFonts w:ascii="Calibri" w:hAnsi="Calibri" w:cs="Calibri"/>
                <w:sz w:val="22"/>
                <w:szCs w:val="22"/>
              </w:rPr>
            </w:pPr>
          </w:p>
        </w:tc>
        <w:tc>
          <w:tcPr>
            <w:tcW w:w="2554" w:type="dxa"/>
            <w:tcBorders>
              <w:top w:val="nil"/>
              <w:left w:val="nil"/>
              <w:right w:val="nil"/>
            </w:tcBorders>
          </w:tcPr>
          <w:p w14:paraId="68DEBF79" w14:textId="77777777" w:rsidR="009A6074" w:rsidRDefault="009A6074" w:rsidP="00E93106">
            <w:pPr>
              <w:jc w:val="center"/>
            </w:pPr>
          </w:p>
        </w:tc>
      </w:tr>
      <w:tr w:rsidR="00642785" w14:paraId="0B546FB5" w14:textId="77777777" w:rsidTr="00E93106">
        <w:trPr>
          <w:trHeight w:val="415"/>
        </w:trPr>
        <w:tc>
          <w:tcPr>
            <w:tcW w:w="2616" w:type="dxa"/>
            <w:tcBorders>
              <w:left w:val="nil"/>
              <w:bottom w:val="nil"/>
              <w:right w:val="nil"/>
            </w:tcBorders>
          </w:tcPr>
          <w:p w14:paraId="5C500A5B" w14:textId="77777777" w:rsidR="009A6074" w:rsidRPr="00E93106" w:rsidRDefault="00000000" w:rsidP="00E93106">
            <w:pPr>
              <w:jc w:val="center"/>
              <w:rPr>
                <w:b/>
                <w:bCs/>
                <w:sz w:val="26"/>
                <w:szCs w:val="26"/>
              </w:rPr>
            </w:pPr>
            <w:r w:rsidRPr="00E93106">
              <w:rPr>
                <w:b/>
                <w:bCs/>
                <w:noProof w:val="0"/>
                <w:sz w:val="26"/>
                <w:szCs w:val="26"/>
                <w:rtl/>
              </w:rPr>
              <w:t xml:space="preserve">אביגדור דורות, </w:t>
            </w:r>
            <w:r w:rsidRPr="00E93106">
              <w:rPr>
                <w:rFonts w:ascii="David" w:hAnsi="David"/>
                <w:b/>
                <w:bCs/>
                <w:noProof w:val="0"/>
                <w:sz w:val="26"/>
                <w:szCs w:val="26"/>
                <w:rtl/>
              </w:rPr>
              <w:t>שופט</w:t>
            </w:r>
            <w:r w:rsidRPr="00E93106">
              <w:rPr>
                <w:rFonts w:ascii="David" w:hAnsi="David"/>
                <w:b/>
                <w:bCs/>
                <w:noProof w:val="0"/>
                <w:sz w:val="26"/>
                <w:szCs w:val="26"/>
                <w:rtl/>
              </w:rPr>
              <w:br/>
            </w:r>
            <w:r w:rsidRPr="00E93106">
              <w:rPr>
                <w:rFonts w:ascii="David" w:hAnsi="David"/>
                <w:b/>
                <w:bCs/>
                <w:noProof w:val="0"/>
                <w:rtl/>
              </w:rPr>
              <w:t>יו"ר הועדה</w:t>
            </w:r>
          </w:p>
        </w:tc>
        <w:tc>
          <w:tcPr>
            <w:tcW w:w="2742" w:type="dxa"/>
            <w:tcBorders>
              <w:left w:val="nil"/>
              <w:bottom w:val="nil"/>
              <w:right w:val="nil"/>
            </w:tcBorders>
          </w:tcPr>
          <w:p w14:paraId="05AA1A7B" w14:textId="77777777" w:rsidR="009A6074" w:rsidRPr="00E93106" w:rsidRDefault="00000000" w:rsidP="00E93106">
            <w:pPr>
              <w:jc w:val="center"/>
              <w:rPr>
                <w:b/>
                <w:bCs/>
                <w:noProof w:val="0"/>
                <w:sz w:val="26"/>
                <w:szCs w:val="26"/>
                <w:rtl/>
              </w:rPr>
            </w:pPr>
            <w:r w:rsidRPr="00E93106">
              <w:rPr>
                <w:b/>
                <w:bCs/>
                <w:noProof w:val="0"/>
                <w:sz w:val="26"/>
                <w:szCs w:val="26"/>
                <w:rtl/>
              </w:rPr>
              <w:t xml:space="preserve">רו"ח שלמה מדהלה, </w:t>
            </w:r>
          </w:p>
          <w:p w14:paraId="69C696DB" w14:textId="77777777" w:rsidR="009A6074" w:rsidRPr="00E93106" w:rsidRDefault="00000000" w:rsidP="00E93106">
            <w:pPr>
              <w:jc w:val="center"/>
              <w:rPr>
                <w:b/>
                <w:bCs/>
                <w:noProof w:val="0"/>
                <w:sz w:val="26"/>
                <w:szCs w:val="26"/>
                <w:rtl/>
              </w:rPr>
            </w:pPr>
            <w:r w:rsidRPr="00E93106">
              <w:rPr>
                <w:b/>
                <w:bCs/>
                <w:noProof w:val="0"/>
                <w:sz w:val="26"/>
                <w:szCs w:val="26"/>
                <w:rtl/>
              </w:rPr>
              <w:t>חבר ועדה</w:t>
            </w:r>
          </w:p>
        </w:tc>
        <w:tc>
          <w:tcPr>
            <w:tcW w:w="2554" w:type="dxa"/>
            <w:tcBorders>
              <w:left w:val="nil"/>
              <w:bottom w:val="nil"/>
              <w:right w:val="nil"/>
            </w:tcBorders>
          </w:tcPr>
          <w:p w14:paraId="029635EA" w14:textId="77777777" w:rsidR="009A6074" w:rsidRPr="00E93106" w:rsidRDefault="00000000" w:rsidP="00E93106">
            <w:pPr>
              <w:jc w:val="center"/>
              <w:rPr>
                <w:b/>
                <w:bCs/>
                <w:sz w:val="28"/>
                <w:szCs w:val="28"/>
              </w:rPr>
            </w:pPr>
            <w:r w:rsidRPr="00E93106">
              <w:rPr>
                <w:b/>
                <w:bCs/>
                <w:noProof w:val="0"/>
                <w:sz w:val="28"/>
                <w:szCs w:val="28"/>
                <w:rtl/>
              </w:rPr>
              <w:t>גב' גבע בלטר,</w:t>
            </w:r>
          </w:p>
          <w:p w14:paraId="579F0A21" w14:textId="77777777" w:rsidR="009A6074" w:rsidRPr="00E93106" w:rsidRDefault="00000000" w:rsidP="00E93106">
            <w:pPr>
              <w:jc w:val="center"/>
              <w:rPr>
                <w:b/>
                <w:bCs/>
                <w:noProof w:val="0"/>
                <w:rtl/>
              </w:rPr>
            </w:pPr>
            <w:r w:rsidRPr="00E93106">
              <w:rPr>
                <w:b/>
                <w:bCs/>
                <w:noProof w:val="0"/>
                <w:sz w:val="28"/>
                <w:szCs w:val="28"/>
                <w:rtl/>
              </w:rPr>
              <w:t>חברת וועדה</w:t>
            </w:r>
          </w:p>
        </w:tc>
      </w:tr>
    </w:tbl>
    <w:p w14:paraId="414E2375" w14:textId="77777777" w:rsidR="009A6074" w:rsidRDefault="009A6074" w:rsidP="002C2EFD">
      <w:pPr>
        <w:spacing w:line="360" w:lineRule="auto"/>
        <w:jc w:val="both"/>
        <w:rPr>
          <w:rFonts w:ascii="David" w:hAnsi="David"/>
          <w:noProof w:val="0"/>
          <w:rtl/>
        </w:rPr>
      </w:pPr>
    </w:p>
    <w:p w14:paraId="6DB31BE3" w14:textId="77777777" w:rsidR="009A6074" w:rsidRDefault="009A6074" w:rsidP="002C2EFD">
      <w:pPr>
        <w:spacing w:line="360" w:lineRule="auto"/>
        <w:jc w:val="both"/>
        <w:rPr>
          <w:rFonts w:ascii="Arial" w:hAnsi="Arial"/>
          <w:noProof w:val="0"/>
          <w:rtl/>
        </w:rPr>
      </w:pPr>
    </w:p>
    <w:p w14:paraId="0B41D23F" w14:textId="77777777" w:rsidR="009A6074" w:rsidRPr="007E07D4" w:rsidRDefault="009A6074" w:rsidP="007E07D4">
      <w:pPr>
        <w:keepNext/>
        <w:tabs>
          <w:tab w:val="left" w:pos="3390"/>
        </w:tabs>
        <w:spacing w:line="360" w:lineRule="auto"/>
        <w:rPr>
          <w:rFonts w:ascii="David" w:hAnsi="David"/>
          <w:noProof w:val="0"/>
          <w:color w:val="000000"/>
          <w:sz w:val="22"/>
          <w:szCs w:val="22"/>
          <w:rtl/>
        </w:rPr>
      </w:pPr>
    </w:p>
    <w:p w14:paraId="66EE5ADF" w14:textId="77777777" w:rsidR="007E07D4" w:rsidRPr="007E07D4" w:rsidRDefault="007E07D4" w:rsidP="007E07D4">
      <w:pPr>
        <w:tabs>
          <w:tab w:val="left" w:pos="3390"/>
        </w:tabs>
        <w:spacing w:line="360" w:lineRule="auto"/>
        <w:jc w:val="center"/>
        <w:rPr>
          <w:rFonts w:ascii="Arial" w:hAnsi="Arial"/>
          <w:noProof w:val="0"/>
          <w:color w:val="0000FF"/>
          <w:u w:val="single"/>
          <w:rtl/>
        </w:rPr>
      </w:pPr>
    </w:p>
    <w:sectPr w:rsidR="007E07D4" w:rsidRPr="007E07D4" w:rsidSect="007E07D4">
      <w:headerReference w:type="even" r:id="rId54"/>
      <w:headerReference w:type="default" r:id="rId55"/>
      <w:footerReference w:type="even" r:id="rId56"/>
      <w:footerReference w:type="default" r:id="rId57"/>
      <w:pgSz w:w="11907" w:h="16840" w:code="9"/>
      <w:pgMar w:top="1701" w:right="1701" w:bottom="1134" w:left="1701" w:header="720" w:footer="737"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BD39D" w14:textId="77777777" w:rsidR="00CE0B40" w:rsidRDefault="00CE0B40">
      <w:r>
        <w:separator/>
      </w:r>
    </w:p>
  </w:endnote>
  <w:endnote w:type="continuationSeparator" w:id="0">
    <w:p w14:paraId="4A47F52D" w14:textId="77777777" w:rsidR="00CE0B40" w:rsidRDefault="00CE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6E3AE" w14:textId="77777777" w:rsidR="00E32C0E" w:rsidRDefault="00000000" w:rsidP="007E07D4">
    <w:pPr>
      <w:pStyle w:val="a4"/>
      <w:jc w:val="center"/>
      <w:rPr>
        <w:rFonts w:ascii="FrankRuehl" w:hAnsi="FrankRuehl" w:cs="FrankRuehl"/>
      </w:rPr>
    </w:pPr>
    <w:r>
      <w:rPr>
        <w:rFonts w:ascii="FrankRuehl" w:hAnsi="FrankRuehl" w:cs="FrankRuehl"/>
        <w:rtl/>
      </w:rPr>
      <w:fldChar w:fldCharType="begin"/>
    </w:r>
    <w:r>
      <w:rPr>
        <w:rFonts w:ascii="FrankRuehl" w:hAnsi="FrankRuehl" w:cs="FrankRuehl"/>
        <w:rtl/>
      </w:rPr>
      <w:instrText xml:space="preserve"> </w:instrText>
    </w:r>
    <w:r>
      <w:rPr>
        <w:rFonts w:ascii="FrankRuehl" w:hAnsi="FrankRuehl" w:cs="FrankRuehl"/>
      </w:rPr>
      <w:instrText xml:space="preserve">PAGE </w:instrText>
    </w:r>
    <w:r>
      <w:rPr>
        <w:rFonts w:ascii="FrankRuehl" w:hAnsi="FrankRuehl" w:cs="FrankRuehl"/>
        <w:rtl/>
      </w:rPr>
      <w:instrText xml:space="preserve"> \* </w:instrText>
    </w:r>
    <w:r>
      <w:rPr>
        <w:rFonts w:ascii="FrankRuehl" w:hAnsi="FrankRuehl" w:cs="FrankRuehl"/>
      </w:rPr>
      <w:instrText>MERGEFORMAT</w:instrText>
    </w:r>
    <w:r>
      <w:rPr>
        <w:rFonts w:ascii="FrankRuehl" w:hAnsi="FrankRuehl" w:cs="FrankRuehl"/>
        <w:rtl/>
      </w:rPr>
      <w:instrText xml:space="preserve"> </w:instrText>
    </w:r>
    <w:r>
      <w:rPr>
        <w:rFonts w:ascii="FrankRuehl" w:hAnsi="FrankRuehl" w:cs="FrankRuehl"/>
        <w:rtl/>
      </w:rPr>
      <w:fldChar w:fldCharType="separate"/>
    </w:r>
    <w:r>
      <w:rPr>
        <w:rFonts w:ascii="FrankRuehl" w:hAnsi="FrankRuehl" w:cs="FrankRuehl"/>
        <w:rtl/>
      </w:rPr>
      <w:t>2</w:t>
    </w:r>
    <w:r>
      <w:rPr>
        <w:rFonts w:ascii="FrankRuehl" w:hAnsi="FrankRuehl" w:cs="FrankRuehl"/>
        <w:rtl/>
      </w:rPr>
      <w:fldChar w:fldCharType="end"/>
    </w:r>
  </w:p>
  <w:p w14:paraId="4129476D" w14:textId="7ED43B20" w:rsidR="00E32C0E" w:rsidRPr="007E07D4" w:rsidRDefault="00B85D25" w:rsidP="007E07D4">
    <w:pPr>
      <w:pStyle w:val="a4"/>
      <w:pBdr>
        <w:top w:val="single" w:sz="4" w:space="1" w:color="auto"/>
        <w:between w:val="single" w:sz="4" w:space="0" w:color="auto"/>
      </w:pBdr>
      <w:spacing w:after="60"/>
      <w:jc w:val="center"/>
      <w:rPr>
        <w:rFonts w:ascii="FrankRuehl" w:hAnsi="FrankRuehl" w:cs="FrankRuehl"/>
        <w:color w:val="000000"/>
      </w:rPr>
    </w:pPr>
    <w:r>
      <w:rPr>
        <w:rFonts w:ascii="FrankRuehl" w:hAnsi="FrankRuehl" w:cs="FrankRuehl"/>
        <w:color w:val="000000"/>
      </w:rPr>
      <w:drawing>
        <wp:inline distT="0" distB="0" distL="0" distR="0" wp14:anchorId="57F2A283" wp14:editId="49ACA21E">
          <wp:extent cx="552450" cy="2286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2B1D8" w14:textId="77777777" w:rsidR="00E32C0E" w:rsidRDefault="00000000" w:rsidP="007E07D4">
    <w:pPr>
      <w:pStyle w:val="a4"/>
      <w:jc w:val="center"/>
      <w:rPr>
        <w:rStyle w:val="ab"/>
        <w:rFonts w:ascii="FrankRuehl" w:hAnsi="FrankRuehl" w:cs="FrankRuehl"/>
        <w:rtl/>
      </w:rPr>
    </w:pPr>
    <w:r>
      <w:rPr>
        <w:rStyle w:val="ab"/>
        <w:rFonts w:ascii="FrankRuehl" w:hAnsi="FrankRuehl" w:cs="FrankRuehl"/>
        <w:rtl/>
      </w:rPr>
      <w:fldChar w:fldCharType="begin"/>
    </w:r>
    <w:r>
      <w:rPr>
        <w:rStyle w:val="ab"/>
        <w:rFonts w:ascii="FrankRuehl" w:hAnsi="FrankRuehl" w:cs="FrankRuehl"/>
        <w:rtl/>
      </w:rPr>
      <w:instrText xml:space="preserve"> </w:instrText>
    </w:r>
    <w:r>
      <w:rPr>
        <w:rStyle w:val="ab"/>
        <w:rFonts w:ascii="FrankRuehl" w:hAnsi="FrankRuehl" w:cs="FrankRuehl" w:hint="cs"/>
      </w:rPr>
      <w:instrText xml:space="preserve">PAGE </w:instrText>
    </w:r>
    <w:r>
      <w:rPr>
        <w:rStyle w:val="ab"/>
        <w:rFonts w:ascii="FrankRuehl" w:hAnsi="FrankRuehl" w:cs="FrankRuehl" w:hint="cs"/>
        <w:rtl/>
      </w:rPr>
      <w:instrText xml:space="preserve"> \* </w:instrText>
    </w:r>
    <w:r>
      <w:rPr>
        <w:rStyle w:val="ab"/>
        <w:rFonts w:ascii="FrankRuehl" w:hAnsi="FrankRuehl" w:cs="FrankRuehl" w:hint="cs"/>
      </w:rPr>
      <w:instrText>MERGEFORMAT</w:instrText>
    </w:r>
    <w:r>
      <w:rPr>
        <w:rStyle w:val="ab"/>
        <w:rFonts w:ascii="FrankRuehl" w:hAnsi="FrankRuehl" w:cs="FrankRuehl"/>
        <w:rtl/>
      </w:rPr>
      <w:instrText xml:space="preserve"> </w:instrText>
    </w:r>
    <w:r>
      <w:rPr>
        <w:rStyle w:val="ab"/>
        <w:rFonts w:ascii="FrankRuehl" w:hAnsi="FrankRuehl" w:cs="FrankRuehl"/>
        <w:rtl/>
      </w:rPr>
      <w:fldChar w:fldCharType="separate"/>
    </w:r>
    <w:r w:rsidR="001F1D40">
      <w:rPr>
        <w:rStyle w:val="ab"/>
        <w:rFonts w:ascii="FrankRuehl" w:hAnsi="FrankRuehl" w:cs="FrankRuehl"/>
        <w:rtl/>
      </w:rPr>
      <w:t>1</w:t>
    </w:r>
    <w:r>
      <w:rPr>
        <w:rStyle w:val="ab"/>
        <w:rFonts w:ascii="FrankRuehl" w:hAnsi="FrankRuehl" w:cs="FrankRuehl"/>
        <w:rtl/>
      </w:rPr>
      <w:fldChar w:fldCharType="end"/>
    </w:r>
  </w:p>
  <w:p w14:paraId="18FDAA66" w14:textId="5C82D7F8" w:rsidR="00E32C0E" w:rsidRPr="007E07D4" w:rsidRDefault="00E32C0E" w:rsidP="007E07D4">
    <w:pPr>
      <w:pStyle w:val="a4"/>
      <w:pBdr>
        <w:top w:val="single" w:sz="4" w:space="1" w:color="auto"/>
        <w:between w:val="single" w:sz="4" w:space="0" w:color="auto"/>
      </w:pBdr>
      <w:spacing w:after="60"/>
      <w:jc w:val="center"/>
      <w:rPr>
        <w:rStyle w:val="ab"/>
        <w:rFonts w:ascii="FrankRuehl" w:hAnsi="FrankRuehl" w:cs="FrankRuehl"/>
        <w:color w:val="00000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4FADD" w14:textId="77777777" w:rsidR="00CE0B40" w:rsidRDefault="00CE0B40">
      <w:r>
        <w:separator/>
      </w:r>
    </w:p>
  </w:footnote>
  <w:footnote w:type="continuationSeparator" w:id="0">
    <w:p w14:paraId="7C1FE77F" w14:textId="77777777" w:rsidR="00CE0B40" w:rsidRDefault="00CE0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284E" w14:textId="77777777" w:rsidR="00E32C0E" w:rsidRPr="007E07D4" w:rsidRDefault="00000000" w:rsidP="007E07D4">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r>
      <w:rPr>
        <w:rFonts w:ascii="David" w:hAnsi="David"/>
        <w:color w:val="000000"/>
        <w:sz w:val="22"/>
        <w:szCs w:val="22"/>
        <w:rtl/>
      </w:rPr>
      <w:t>וע (י-ם) 28123-04-21</w:t>
    </w:r>
    <w:r>
      <w:rPr>
        <w:rFonts w:ascii="David" w:hAnsi="David"/>
        <w:color w:val="000000"/>
        <w:sz w:val="22"/>
        <w:szCs w:val="22"/>
        <w:rtl/>
      </w:rPr>
      <w:tab/>
      <w:t xml:space="preserve"> מיכאל מלכיאור נ' מנהל מיסוי מקרקעין ירושלים</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67F86" w14:textId="77777777" w:rsidR="00E32C0E" w:rsidRPr="007E07D4" w:rsidRDefault="00000000" w:rsidP="007E07D4">
    <w:pPr>
      <w:pStyle w:val="a3"/>
      <w:pBdr>
        <w:bottom w:val="single" w:sz="4" w:space="1" w:color="auto"/>
      </w:pBdr>
      <w:tabs>
        <w:tab w:val="clear" w:pos="4153"/>
        <w:tab w:val="clear" w:pos="8306"/>
        <w:tab w:val="right" w:pos="8311"/>
      </w:tabs>
      <w:spacing w:line="220" w:lineRule="auto"/>
      <w:rPr>
        <w:rFonts w:ascii="David" w:hAnsi="David"/>
        <w:color w:val="000000"/>
        <w:sz w:val="22"/>
        <w:szCs w:val="22"/>
        <w:rtl/>
      </w:rPr>
    </w:pPr>
    <w:bookmarkStart w:id="8" w:name="_Hlk192707239"/>
    <w:bookmarkStart w:id="9" w:name="_Hlk192707240"/>
    <w:bookmarkStart w:id="10" w:name="_Hlk192707241"/>
    <w:bookmarkStart w:id="11" w:name="_Hlk192707242"/>
    <w:r>
      <w:rPr>
        <w:rFonts w:ascii="David" w:hAnsi="David"/>
        <w:color w:val="000000"/>
        <w:sz w:val="22"/>
        <w:szCs w:val="22"/>
        <w:rtl/>
      </w:rPr>
      <w:t>וע (י-ם) 28123-04-21</w:t>
    </w:r>
    <w:r>
      <w:rPr>
        <w:rFonts w:ascii="David" w:hAnsi="David"/>
        <w:color w:val="000000"/>
        <w:sz w:val="22"/>
        <w:szCs w:val="22"/>
        <w:rtl/>
      </w:rPr>
      <w:tab/>
      <w:t xml:space="preserve"> מיכאל מלכיאור נ' מנהל מיסוי מקרקעין ירושלים</w:t>
    </w:r>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571D75"/>
    <w:multiLevelType w:val="hybridMultilevel"/>
    <w:tmpl w:val="9A1EF35E"/>
    <w:lvl w:ilvl="0" w:tplc="1ED06F24">
      <w:start w:val="1"/>
      <w:numFmt w:val="hebrew1"/>
      <w:lvlText w:val="%1."/>
      <w:lvlJc w:val="center"/>
      <w:pPr>
        <w:ind w:left="1440" w:hanging="360"/>
      </w:pPr>
      <w:rPr>
        <w:rFonts w:cs="Times New Roman"/>
      </w:rPr>
    </w:lvl>
    <w:lvl w:ilvl="1" w:tplc="4788A76E">
      <w:start w:val="1"/>
      <w:numFmt w:val="lowerLetter"/>
      <w:lvlText w:val="%2."/>
      <w:lvlJc w:val="left"/>
      <w:pPr>
        <w:ind w:left="2160" w:hanging="360"/>
      </w:pPr>
      <w:rPr>
        <w:rFonts w:cs="Times New Roman"/>
      </w:rPr>
    </w:lvl>
    <w:lvl w:ilvl="2" w:tplc="BB56691C">
      <w:start w:val="1"/>
      <w:numFmt w:val="lowerRoman"/>
      <w:lvlText w:val="%3."/>
      <w:lvlJc w:val="right"/>
      <w:pPr>
        <w:ind w:left="2880" w:hanging="180"/>
      </w:pPr>
      <w:rPr>
        <w:rFonts w:cs="Times New Roman"/>
      </w:rPr>
    </w:lvl>
    <w:lvl w:ilvl="3" w:tplc="D81C2D18">
      <w:start w:val="1"/>
      <w:numFmt w:val="decimal"/>
      <w:lvlText w:val="%4."/>
      <w:lvlJc w:val="left"/>
      <w:pPr>
        <w:ind w:left="3600" w:hanging="360"/>
      </w:pPr>
      <w:rPr>
        <w:rFonts w:cs="Times New Roman"/>
      </w:rPr>
    </w:lvl>
    <w:lvl w:ilvl="4" w:tplc="4A621DE8">
      <w:start w:val="1"/>
      <w:numFmt w:val="lowerLetter"/>
      <w:lvlText w:val="%5."/>
      <w:lvlJc w:val="left"/>
      <w:pPr>
        <w:ind w:left="4320" w:hanging="360"/>
      </w:pPr>
      <w:rPr>
        <w:rFonts w:cs="Times New Roman"/>
      </w:rPr>
    </w:lvl>
    <w:lvl w:ilvl="5" w:tplc="9FCAAEFA">
      <w:start w:val="1"/>
      <w:numFmt w:val="lowerRoman"/>
      <w:lvlText w:val="%6."/>
      <w:lvlJc w:val="right"/>
      <w:pPr>
        <w:ind w:left="5040" w:hanging="180"/>
      </w:pPr>
      <w:rPr>
        <w:rFonts w:cs="Times New Roman"/>
      </w:rPr>
    </w:lvl>
    <w:lvl w:ilvl="6" w:tplc="5EAEC37C">
      <w:start w:val="1"/>
      <w:numFmt w:val="decimal"/>
      <w:lvlText w:val="%7."/>
      <w:lvlJc w:val="left"/>
      <w:pPr>
        <w:ind w:left="5760" w:hanging="360"/>
      </w:pPr>
      <w:rPr>
        <w:rFonts w:cs="Times New Roman"/>
      </w:rPr>
    </w:lvl>
    <w:lvl w:ilvl="7" w:tplc="005292C0">
      <w:start w:val="1"/>
      <w:numFmt w:val="lowerLetter"/>
      <w:lvlText w:val="%8."/>
      <w:lvlJc w:val="left"/>
      <w:pPr>
        <w:ind w:left="6480" w:hanging="360"/>
      </w:pPr>
      <w:rPr>
        <w:rFonts w:cs="Times New Roman"/>
      </w:rPr>
    </w:lvl>
    <w:lvl w:ilvl="8" w:tplc="4288E398">
      <w:start w:val="1"/>
      <w:numFmt w:val="lowerRoman"/>
      <w:lvlText w:val="%9."/>
      <w:lvlJc w:val="right"/>
      <w:pPr>
        <w:ind w:left="7200" w:hanging="180"/>
      </w:pPr>
      <w:rPr>
        <w:rFonts w:cs="Times New Roman"/>
      </w:rPr>
    </w:lvl>
  </w:abstractNum>
  <w:abstractNum w:abstractNumId="1" w15:restartNumberingAfterBreak="0">
    <w:nsid w:val="5A2740C7"/>
    <w:multiLevelType w:val="hybridMultilevel"/>
    <w:tmpl w:val="ACEC5902"/>
    <w:lvl w:ilvl="0" w:tplc="9FAACCE8">
      <w:start w:val="1"/>
      <w:numFmt w:val="hebrew1"/>
      <w:lvlText w:val="%1."/>
      <w:lvlJc w:val="left"/>
      <w:pPr>
        <w:ind w:left="1080" w:hanging="360"/>
      </w:pPr>
      <w:rPr>
        <w:rFonts w:cs="Times New Roman"/>
      </w:rPr>
    </w:lvl>
    <w:lvl w:ilvl="1" w:tplc="7F183992">
      <w:start w:val="1"/>
      <w:numFmt w:val="lowerLetter"/>
      <w:lvlText w:val="%2."/>
      <w:lvlJc w:val="left"/>
      <w:pPr>
        <w:ind w:left="1800" w:hanging="360"/>
      </w:pPr>
      <w:rPr>
        <w:rFonts w:cs="Times New Roman"/>
      </w:rPr>
    </w:lvl>
    <w:lvl w:ilvl="2" w:tplc="FAD2E1F2">
      <w:start w:val="1"/>
      <w:numFmt w:val="lowerRoman"/>
      <w:lvlText w:val="%3."/>
      <w:lvlJc w:val="right"/>
      <w:pPr>
        <w:ind w:left="2520" w:hanging="180"/>
      </w:pPr>
      <w:rPr>
        <w:rFonts w:cs="Times New Roman"/>
      </w:rPr>
    </w:lvl>
    <w:lvl w:ilvl="3" w:tplc="A7E0EAF8">
      <w:start w:val="1"/>
      <w:numFmt w:val="decimal"/>
      <w:lvlText w:val="%4."/>
      <w:lvlJc w:val="left"/>
      <w:pPr>
        <w:ind w:left="3240" w:hanging="360"/>
      </w:pPr>
      <w:rPr>
        <w:rFonts w:cs="Times New Roman"/>
      </w:rPr>
    </w:lvl>
    <w:lvl w:ilvl="4" w:tplc="E2A0CC7A">
      <w:start w:val="1"/>
      <w:numFmt w:val="lowerLetter"/>
      <w:lvlText w:val="%5."/>
      <w:lvlJc w:val="left"/>
      <w:pPr>
        <w:ind w:left="3960" w:hanging="360"/>
      </w:pPr>
      <w:rPr>
        <w:rFonts w:cs="Times New Roman"/>
      </w:rPr>
    </w:lvl>
    <w:lvl w:ilvl="5" w:tplc="1AA45D0A">
      <w:start w:val="1"/>
      <w:numFmt w:val="lowerRoman"/>
      <w:lvlText w:val="%6."/>
      <w:lvlJc w:val="right"/>
      <w:pPr>
        <w:ind w:left="4680" w:hanging="180"/>
      </w:pPr>
      <w:rPr>
        <w:rFonts w:cs="Times New Roman"/>
      </w:rPr>
    </w:lvl>
    <w:lvl w:ilvl="6" w:tplc="BE32F86A">
      <w:start w:val="1"/>
      <w:numFmt w:val="decimal"/>
      <w:lvlText w:val="%7."/>
      <w:lvlJc w:val="left"/>
      <w:pPr>
        <w:ind w:left="5400" w:hanging="360"/>
      </w:pPr>
      <w:rPr>
        <w:rFonts w:cs="Times New Roman"/>
      </w:rPr>
    </w:lvl>
    <w:lvl w:ilvl="7" w:tplc="B3647334">
      <w:start w:val="1"/>
      <w:numFmt w:val="lowerLetter"/>
      <w:lvlText w:val="%8."/>
      <w:lvlJc w:val="left"/>
      <w:pPr>
        <w:ind w:left="6120" w:hanging="360"/>
      </w:pPr>
      <w:rPr>
        <w:rFonts w:cs="Times New Roman"/>
      </w:rPr>
    </w:lvl>
    <w:lvl w:ilvl="8" w:tplc="F9FE41D4">
      <w:start w:val="1"/>
      <w:numFmt w:val="lowerRoman"/>
      <w:lvlText w:val="%9."/>
      <w:lvlJc w:val="right"/>
      <w:pPr>
        <w:ind w:left="6840" w:hanging="180"/>
      </w:pPr>
      <w:rPr>
        <w:rFonts w:cs="Times New Roman"/>
      </w:rPr>
    </w:lvl>
  </w:abstractNum>
  <w:abstractNum w:abstractNumId="2" w15:restartNumberingAfterBreak="0">
    <w:nsid w:val="69757B91"/>
    <w:multiLevelType w:val="hybridMultilevel"/>
    <w:tmpl w:val="3B1AB2E0"/>
    <w:lvl w:ilvl="0" w:tplc="49361C3A">
      <w:start w:val="1"/>
      <w:numFmt w:val="decimal"/>
      <w:lvlText w:val="%1."/>
      <w:lvlJc w:val="left"/>
      <w:pPr>
        <w:ind w:left="720" w:hanging="360"/>
      </w:pPr>
      <w:rPr>
        <w:rFonts w:ascii="David" w:hAnsi="David" w:cs="David" w:hint="default"/>
        <w:b w:val="0"/>
        <w:bCs w:val="0"/>
        <w:sz w:val="24"/>
        <w:szCs w:val="24"/>
      </w:rPr>
    </w:lvl>
    <w:lvl w:ilvl="1" w:tplc="37D0B4C6">
      <w:start w:val="1"/>
      <w:numFmt w:val="lowerLetter"/>
      <w:lvlText w:val="%2."/>
      <w:lvlJc w:val="left"/>
      <w:pPr>
        <w:ind w:left="1440" w:hanging="360"/>
      </w:pPr>
      <w:rPr>
        <w:rFonts w:cs="Times New Roman"/>
      </w:rPr>
    </w:lvl>
    <w:lvl w:ilvl="2" w:tplc="BFD4B254">
      <w:start w:val="1"/>
      <w:numFmt w:val="lowerRoman"/>
      <w:lvlText w:val="%3."/>
      <w:lvlJc w:val="right"/>
      <w:pPr>
        <w:ind w:left="2160" w:hanging="180"/>
      </w:pPr>
      <w:rPr>
        <w:rFonts w:cs="Times New Roman"/>
      </w:rPr>
    </w:lvl>
    <w:lvl w:ilvl="3" w:tplc="C932061C">
      <w:start w:val="1"/>
      <w:numFmt w:val="decimal"/>
      <w:lvlText w:val="%4."/>
      <w:lvlJc w:val="left"/>
      <w:pPr>
        <w:ind w:left="2880" w:hanging="360"/>
      </w:pPr>
      <w:rPr>
        <w:rFonts w:cs="Times New Roman"/>
      </w:rPr>
    </w:lvl>
    <w:lvl w:ilvl="4" w:tplc="BBC2A16A">
      <w:start w:val="1"/>
      <w:numFmt w:val="lowerLetter"/>
      <w:lvlText w:val="%5."/>
      <w:lvlJc w:val="left"/>
      <w:pPr>
        <w:ind w:left="3600" w:hanging="360"/>
      </w:pPr>
      <w:rPr>
        <w:rFonts w:cs="Times New Roman"/>
      </w:rPr>
    </w:lvl>
    <w:lvl w:ilvl="5" w:tplc="E4BC8BDE">
      <w:start w:val="1"/>
      <w:numFmt w:val="lowerRoman"/>
      <w:lvlText w:val="%6."/>
      <w:lvlJc w:val="right"/>
      <w:pPr>
        <w:ind w:left="4320" w:hanging="180"/>
      </w:pPr>
      <w:rPr>
        <w:rFonts w:cs="Times New Roman"/>
      </w:rPr>
    </w:lvl>
    <w:lvl w:ilvl="6" w:tplc="5E36C750">
      <w:start w:val="1"/>
      <w:numFmt w:val="decimal"/>
      <w:lvlText w:val="%7."/>
      <w:lvlJc w:val="left"/>
      <w:pPr>
        <w:ind w:left="5040" w:hanging="360"/>
      </w:pPr>
      <w:rPr>
        <w:rFonts w:cs="Times New Roman"/>
      </w:rPr>
    </w:lvl>
    <w:lvl w:ilvl="7" w:tplc="D70A2440">
      <w:start w:val="1"/>
      <w:numFmt w:val="lowerLetter"/>
      <w:lvlText w:val="%8."/>
      <w:lvlJc w:val="left"/>
      <w:pPr>
        <w:ind w:left="5760" w:hanging="360"/>
      </w:pPr>
      <w:rPr>
        <w:rFonts w:cs="Times New Roman"/>
      </w:rPr>
    </w:lvl>
    <w:lvl w:ilvl="8" w:tplc="0C6CCB3A">
      <w:start w:val="1"/>
      <w:numFmt w:val="lowerRoman"/>
      <w:lvlText w:val="%9."/>
      <w:lvlJc w:val="right"/>
      <w:pPr>
        <w:ind w:left="6480" w:hanging="180"/>
      </w:pPr>
      <w:rPr>
        <w:rFonts w:cs="Times New Roman"/>
      </w:rPr>
    </w:lvl>
  </w:abstractNum>
  <w:num w:numId="1" w16cid:durableId="5929753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7117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85830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yInfo" w:val="This document was extracted from Nevo's site"/>
  </w:docVars>
  <w:rsids>
    <w:rsidRoot w:val="00694556"/>
    <w:rsid w:val="00005C8B"/>
    <w:rsid w:val="00016C35"/>
    <w:rsid w:val="00025486"/>
    <w:rsid w:val="000344E8"/>
    <w:rsid w:val="000564AB"/>
    <w:rsid w:val="00060C9D"/>
    <w:rsid w:val="000E511F"/>
    <w:rsid w:val="000F471F"/>
    <w:rsid w:val="00136142"/>
    <w:rsid w:val="0014234E"/>
    <w:rsid w:val="00185DB8"/>
    <w:rsid w:val="001C4003"/>
    <w:rsid w:val="001D6195"/>
    <w:rsid w:val="001F1D40"/>
    <w:rsid w:val="002370C0"/>
    <w:rsid w:val="002A7A88"/>
    <w:rsid w:val="002C070D"/>
    <w:rsid w:val="002C2EFD"/>
    <w:rsid w:val="002F7D4F"/>
    <w:rsid w:val="00300053"/>
    <w:rsid w:val="003277DC"/>
    <w:rsid w:val="003944DB"/>
    <w:rsid w:val="003B17CA"/>
    <w:rsid w:val="003C4D2F"/>
    <w:rsid w:val="003C55BD"/>
    <w:rsid w:val="003F31E8"/>
    <w:rsid w:val="00426FB2"/>
    <w:rsid w:val="004420A5"/>
    <w:rsid w:val="004E6E3C"/>
    <w:rsid w:val="00547DB7"/>
    <w:rsid w:val="005F4CC5"/>
    <w:rsid w:val="006020E3"/>
    <w:rsid w:val="00602803"/>
    <w:rsid w:val="00622BAA"/>
    <w:rsid w:val="00625C89"/>
    <w:rsid w:val="00642785"/>
    <w:rsid w:val="00644374"/>
    <w:rsid w:val="00644618"/>
    <w:rsid w:val="00671BD5"/>
    <w:rsid w:val="006805C1"/>
    <w:rsid w:val="00694556"/>
    <w:rsid w:val="006B23BF"/>
    <w:rsid w:val="006E1A53"/>
    <w:rsid w:val="007056AA"/>
    <w:rsid w:val="00725909"/>
    <w:rsid w:val="00743BDE"/>
    <w:rsid w:val="00753F07"/>
    <w:rsid w:val="00762734"/>
    <w:rsid w:val="007749EE"/>
    <w:rsid w:val="00794DC0"/>
    <w:rsid w:val="007A1637"/>
    <w:rsid w:val="007A24FE"/>
    <w:rsid w:val="007E07D4"/>
    <w:rsid w:val="007F2201"/>
    <w:rsid w:val="00820005"/>
    <w:rsid w:val="00846D27"/>
    <w:rsid w:val="008928DA"/>
    <w:rsid w:val="008D560D"/>
    <w:rsid w:val="008F6226"/>
    <w:rsid w:val="00903896"/>
    <w:rsid w:val="00910591"/>
    <w:rsid w:val="00941C82"/>
    <w:rsid w:val="00984C06"/>
    <w:rsid w:val="00986101"/>
    <w:rsid w:val="009A6074"/>
    <w:rsid w:val="009B30DE"/>
    <w:rsid w:val="009D7937"/>
    <w:rsid w:val="009F0E44"/>
    <w:rsid w:val="009F4C88"/>
    <w:rsid w:val="00A22F83"/>
    <w:rsid w:val="00A844B0"/>
    <w:rsid w:val="00AA417C"/>
    <w:rsid w:val="00AB0C61"/>
    <w:rsid w:val="00AF1ED6"/>
    <w:rsid w:val="00AF75AA"/>
    <w:rsid w:val="00B26CE3"/>
    <w:rsid w:val="00B80CBD"/>
    <w:rsid w:val="00B848B7"/>
    <w:rsid w:val="00B85D25"/>
    <w:rsid w:val="00B863F6"/>
    <w:rsid w:val="00BE04F3"/>
    <w:rsid w:val="00BE3FED"/>
    <w:rsid w:val="00C36695"/>
    <w:rsid w:val="00C716DD"/>
    <w:rsid w:val="00CB2CF8"/>
    <w:rsid w:val="00CB6799"/>
    <w:rsid w:val="00CE0B40"/>
    <w:rsid w:val="00CE4AC5"/>
    <w:rsid w:val="00D22817"/>
    <w:rsid w:val="00D53924"/>
    <w:rsid w:val="00D54E55"/>
    <w:rsid w:val="00D5721C"/>
    <w:rsid w:val="00D73E83"/>
    <w:rsid w:val="00D7556D"/>
    <w:rsid w:val="00D96D8C"/>
    <w:rsid w:val="00DF7252"/>
    <w:rsid w:val="00E15ED7"/>
    <w:rsid w:val="00E32C0E"/>
    <w:rsid w:val="00E54642"/>
    <w:rsid w:val="00E656E1"/>
    <w:rsid w:val="00E93106"/>
    <w:rsid w:val="00E97908"/>
    <w:rsid w:val="00EA60C6"/>
    <w:rsid w:val="00F055FB"/>
    <w:rsid w:val="00F05BC6"/>
    <w:rsid w:val="00F64BC8"/>
    <w:rsid w:val="00F72327"/>
    <w:rsid w:val="00F84CD2"/>
    <w:rsid w:val="00FA36A7"/>
    <w:rsid w:val="00FD5D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FC96B"/>
  <w15:docId w15:val="{CEA6EA0C-941D-4CC9-A7BC-4A275669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2" w:locked="1"/>
    <w:lsdException w:name="List 3"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pPr>
      <w:bidi/>
    </w:pPr>
    <w:rPr>
      <w:rFonts w:cs="David"/>
      <w:noProof/>
      <w:sz w:val="24"/>
      <w:szCs w:val="24"/>
      <w:lang w:bidi="he-IL"/>
    </w:rPr>
  </w:style>
  <w:style w:type="paragraph" w:styleId="4">
    <w:name w:val="heading 4"/>
    <w:basedOn w:val="a"/>
    <w:next w:val="a"/>
    <w:qFormat/>
    <w:locked/>
    <w:pPr>
      <w:keepNext/>
      <w:ind w:left="5760" w:firstLine="720"/>
      <w:outlineLvl w:val="3"/>
    </w:pPr>
    <w:rPr>
      <w:rFonts w:cs="Narkisim"/>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ocked/>
    <w:pPr>
      <w:tabs>
        <w:tab w:val="center" w:pos="4153"/>
        <w:tab w:val="right" w:pos="8306"/>
      </w:tabs>
    </w:pPr>
  </w:style>
  <w:style w:type="paragraph" w:styleId="a4">
    <w:name w:val="footer"/>
    <w:basedOn w:val="a"/>
    <w:locked/>
    <w:pPr>
      <w:tabs>
        <w:tab w:val="center" w:pos="4153"/>
        <w:tab w:val="right" w:pos="8306"/>
      </w:tabs>
    </w:pPr>
  </w:style>
  <w:style w:type="paragraph" w:customStyle="1" w:styleId="a5">
    <w:name w:val="סעיפים"/>
    <w:basedOn w:val="a"/>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locked/>
    <w:rPr>
      <w:rFonts w:cs="Times New Roman"/>
      <w:noProof w:val="0"/>
    </w:rPr>
  </w:style>
  <w:style w:type="character" w:styleId="a7">
    <w:name w:val="annotation reference"/>
    <w:semiHidden/>
    <w:locked/>
    <w:rPr>
      <w:sz w:val="16"/>
    </w:rPr>
  </w:style>
  <w:style w:type="paragraph" w:styleId="a8">
    <w:name w:val="Balloon Text"/>
    <w:basedOn w:val="a"/>
    <w:semiHidden/>
    <w:locked/>
    <w:rPr>
      <w:rFonts w:ascii="Tahoma" w:hAnsi="Tahoma" w:cs="Tahoma"/>
      <w:sz w:val="16"/>
      <w:szCs w:val="16"/>
    </w:rPr>
  </w:style>
  <w:style w:type="table" w:styleId="a9">
    <w:name w:val="Table Grid"/>
    <w:basedOn w:val="a1"/>
    <w:pPr>
      <w:bidi/>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locked/>
    <w:rPr>
      <w:rFonts w:cs="Times New Roman"/>
    </w:rPr>
  </w:style>
  <w:style w:type="character" w:styleId="ab">
    <w:name w:val="page number"/>
    <w:locked/>
    <w:rPr>
      <w:rFonts w:cs="Times New Roman"/>
    </w:rPr>
  </w:style>
  <w:style w:type="table" w:customStyle="1" w:styleId="1">
    <w:name w:val="טבלת רשת1"/>
    <w:rsid w:val="001C4003"/>
    <w:pPr>
      <w:jc w:val="right"/>
    </w:pPr>
    <w:rPr>
      <w:lang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טקסט מציין מיקום1"/>
    <w:semiHidden/>
    <w:rsid w:val="00986101"/>
    <w:rPr>
      <w:color w:val="808080"/>
    </w:rPr>
  </w:style>
  <w:style w:type="character" w:styleId="Hyperlink">
    <w:name w:val="Hyperlink"/>
    <w:semiHidden/>
    <w:locked/>
    <w:rsid w:val="007F2201"/>
    <w:rPr>
      <w:color w:val="0000FF"/>
      <w:u w:val="single"/>
    </w:rPr>
  </w:style>
  <w:style w:type="paragraph" w:customStyle="1" w:styleId="11">
    <w:name w:val="פיסקת רשימה1"/>
    <w:basedOn w:val="a"/>
    <w:qFormat/>
    <w:rsid w:val="007F2201"/>
    <w:pPr>
      <w:spacing w:after="160" w:line="254" w:lineRule="auto"/>
      <w:ind w:left="720"/>
      <w:contextualSpacing/>
    </w:pPr>
    <w:rPr>
      <w:rFonts w:ascii="Calibri" w:hAnsi="Calibri" w:cs="Arial"/>
      <w:noProof w:val="0"/>
      <w:sz w:val="22"/>
      <w:szCs w:val="22"/>
    </w:rPr>
  </w:style>
  <w:style w:type="paragraph" w:customStyle="1" w:styleId="p00">
    <w:name w:val="p00"/>
    <w:basedOn w:val="a"/>
    <w:rsid w:val="007F2201"/>
    <w:pPr>
      <w:bidi w:val="0"/>
      <w:spacing w:before="100" w:beforeAutospacing="1" w:after="100" w:afterAutospacing="1"/>
    </w:pPr>
    <w:rPr>
      <w:rFonts w:cs="Times New Roman"/>
      <w:noProof w:val="0"/>
    </w:rPr>
  </w:style>
  <w:style w:type="paragraph" w:customStyle="1" w:styleId="p22">
    <w:name w:val="p22"/>
    <w:basedOn w:val="a"/>
    <w:rsid w:val="007F2201"/>
    <w:pPr>
      <w:bidi w:val="0"/>
      <w:spacing w:before="100" w:beforeAutospacing="1" w:after="100" w:afterAutospacing="1"/>
    </w:pPr>
    <w:rPr>
      <w:rFonts w:cs="Times New Roman"/>
      <w:noProof w:val="0"/>
    </w:rPr>
  </w:style>
  <w:style w:type="character" w:customStyle="1" w:styleId="default">
    <w:name w:val="default"/>
    <w:rsid w:val="007F22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nevo.co.il/law/72866/9.c1e" TargetMode="External"/><Relationship Id="rId18" Type="http://schemas.openxmlformats.org/officeDocument/2006/relationships/hyperlink" Target="http://www.nevo.co.il/law/72866/9.a" TargetMode="External"/><Relationship Id="rId26" Type="http://schemas.openxmlformats.org/officeDocument/2006/relationships/hyperlink" Target="http://www.nevo.co.il/law/72866/9.c1c.2.b" TargetMode="External"/><Relationship Id="rId39" Type="http://schemas.openxmlformats.org/officeDocument/2006/relationships/hyperlink" Target="http://www.nevo.co.il/case/20151309" TargetMode="External"/><Relationship Id="rId21" Type="http://schemas.openxmlformats.org/officeDocument/2006/relationships/hyperlink" Target="http://www.nevo.co.il/law/72866/9.c1c.2" TargetMode="External"/><Relationship Id="rId34" Type="http://schemas.openxmlformats.org/officeDocument/2006/relationships/hyperlink" Target="http://www.nevo.co.il/law/84255" TargetMode="External"/><Relationship Id="rId42" Type="http://schemas.openxmlformats.org/officeDocument/2006/relationships/hyperlink" Target="http://www.nevo.co.il/law/72866/9.c1c.2.b1" TargetMode="External"/><Relationship Id="rId47" Type="http://schemas.openxmlformats.org/officeDocument/2006/relationships/hyperlink" Target="http://www.nevo.co.il/law/72866/9.c1c.2.b1" TargetMode="External"/><Relationship Id="rId50" Type="http://schemas.openxmlformats.org/officeDocument/2006/relationships/hyperlink" Target="http://www.nevo.co.il/law/72866/85" TargetMode="External"/><Relationship Id="rId55" Type="http://schemas.openxmlformats.org/officeDocument/2006/relationships/header" Target="header2.xml"/><Relationship Id="rId7" Type="http://schemas.openxmlformats.org/officeDocument/2006/relationships/hyperlink" Target="http://www.nevo.co.il/law/72866" TargetMode="External"/><Relationship Id="rId12" Type="http://schemas.openxmlformats.org/officeDocument/2006/relationships/hyperlink" Target="http://www.nevo.co.il/law/72866/9.c1c.2.b" TargetMode="External"/><Relationship Id="rId17" Type="http://schemas.openxmlformats.org/officeDocument/2006/relationships/hyperlink" Target="http://www.nevo.co.il/law/72866/87" TargetMode="External"/><Relationship Id="rId25" Type="http://schemas.openxmlformats.org/officeDocument/2006/relationships/hyperlink" Target="http://www.nevo.co.il/case/17923666" TargetMode="External"/><Relationship Id="rId33" Type="http://schemas.openxmlformats.org/officeDocument/2006/relationships/hyperlink" Target="http://www.nevo.co.il/law/72866/85.3" TargetMode="External"/><Relationship Id="rId38" Type="http://schemas.openxmlformats.org/officeDocument/2006/relationships/hyperlink" Target="http://www.nevo.co.il/law/72866/9.c1c.2.b" TargetMode="External"/><Relationship Id="rId46" Type="http://schemas.openxmlformats.org/officeDocument/2006/relationships/hyperlink" Target="http://www.nevo.co.il/law/72866/9.c1c.4"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evo.co.il/law/72866/85" TargetMode="External"/><Relationship Id="rId20" Type="http://schemas.openxmlformats.org/officeDocument/2006/relationships/hyperlink" Target="http://www.nevo.co.il/law/72813" TargetMode="External"/><Relationship Id="rId29" Type="http://schemas.openxmlformats.org/officeDocument/2006/relationships/hyperlink" Target="http://www.nevo.co.il/law/72866" TargetMode="External"/><Relationship Id="rId41" Type="http://schemas.openxmlformats.org/officeDocument/2006/relationships/hyperlink" Target="http://www.nevo.co.il/law/72866/9.c1c.2.b"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vo.co.il/case/25439032" TargetMode="External"/><Relationship Id="rId24" Type="http://schemas.openxmlformats.org/officeDocument/2006/relationships/hyperlink" Target="http://www.nevo.co.il/case/17937905" TargetMode="External"/><Relationship Id="rId32" Type="http://schemas.openxmlformats.org/officeDocument/2006/relationships/hyperlink" Target="http://www.nevo.co.il/law/72866/85" TargetMode="External"/><Relationship Id="rId37" Type="http://schemas.openxmlformats.org/officeDocument/2006/relationships/hyperlink" Target="http://www.nevo.co.il/law/72866/85" TargetMode="External"/><Relationship Id="rId40" Type="http://schemas.openxmlformats.org/officeDocument/2006/relationships/hyperlink" Target="http://www.nevo.co.il/law/72866/9.c1c.2.b1" TargetMode="External"/><Relationship Id="rId45" Type="http://schemas.openxmlformats.org/officeDocument/2006/relationships/hyperlink" Target="http://www.nevo.co.il/law/72866/9.c1c.2.b" TargetMode="External"/><Relationship Id="rId53" Type="http://schemas.openxmlformats.org/officeDocument/2006/relationships/hyperlink" Target="http://www.nevo.co.il/law/72866/87"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evo.co.il/law/72866/9.c1c.2.b1" TargetMode="External"/><Relationship Id="rId23" Type="http://schemas.openxmlformats.org/officeDocument/2006/relationships/hyperlink" Target="http://www.nevo.co.il/law/72866/9.c1c.2" TargetMode="External"/><Relationship Id="rId28" Type="http://schemas.openxmlformats.org/officeDocument/2006/relationships/hyperlink" Target="http://www.nevo.co.il/law/72866/85" TargetMode="External"/><Relationship Id="rId36" Type="http://schemas.openxmlformats.org/officeDocument/2006/relationships/hyperlink" Target="http://www.nevo.co.il/case/17940024" TargetMode="External"/><Relationship Id="rId49" Type="http://schemas.openxmlformats.org/officeDocument/2006/relationships/hyperlink" Target="http://www.nevo.co.il/law/72866/85" TargetMode="External"/><Relationship Id="rId57" Type="http://schemas.openxmlformats.org/officeDocument/2006/relationships/footer" Target="footer2.xml"/><Relationship Id="rId10" Type="http://schemas.openxmlformats.org/officeDocument/2006/relationships/hyperlink" Target="http://www.nevo.co.il/law/72866" TargetMode="External"/><Relationship Id="rId19" Type="http://schemas.openxmlformats.org/officeDocument/2006/relationships/hyperlink" Target="http://www.nevo.co.il/law/72866" TargetMode="External"/><Relationship Id="rId31" Type="http://schemas.openxmlformats.org/officeDocument/2006/relationships/hyperlink" Target="http://www.nevo.co.il/law/72866/107" TargetMode="External"/><Relationship Id="rId44" Type="http://schemas.openxmlformats.org/officeDocument/2006/relationships/hyperlink" Target="http://www.nevo.co.il/law/72866/9.c1c.2.b1" TargetMode="External"/><Relationship Id="rId52" Type="http://schemas.openxmlformats.org/officeDocument/2006/relationships/hyperlink" Target="http://www.nevo.co.il/law/72866/85" TargetMode="External"/><Relationship Id="rId4" Type="http://schemas.openxmlformats.org/officeDocument/2006/relationships/webSettings" Target="webSettings.xml"/><Relationship Id="rId9" Type="http://schemas.openxmlformats.org/officeDocument/2006/relationships/hyperlink" Target="http://www.nevo.co.il/law/72866" TargetMode="External"/><Relationship Id="rId14" Type="http://schemas.openxmlformats.org/officeDocument/2006/relationships/hyperlink" Target="http://www.nevo.co.il/law/72866/85" TargetMode="External"/><Relationship Id="rId22" Type="http://schemas.openxmlformats.org/officeDocument/2006/relationships/hyperlink" Target="http://www.nevo.co.il/law/72866" TargetMode="External"/><Relationship Id="rId27" Type="http://schemas.openxmlformats.org/officeDocument/2006/relationships/hyperlink" Target="http://www.nevo.co.il/law/72866/9.c1c.2.b1" TargetMode="External"/><Relationship Id="rId30" Type="http://schemas.openxmlformats.org/officeDocument/2006/relationships/hyperlink" Target="http://www.nevo.co.il/case/17928036" TargetMode="External"/><Relationship Id="rId35" Type="http://schemas.openxmlformats.org/officeDocument/2006/relationships/hyperlink" Target="http://www.nevo.co.il/law/72866/85.3" TargetMode="External"/><Relationship Id="rId43" Type="http://schemas.openxmlformats.org/officeDocument/2006/relationships/hyperlink" Target="http://www.nevo.co.il/law/72866/9.c1c.2.b" TargetMode="External"/><Relationship Id="rId48" Type="http://schemas.openxmlformats.org/officeDocument/2006/relationships/hyperlink" Target="http://www.nevo.co.il/law/72866/85.3" TargetMode="External"/><Relationship Id="rId56" Type="http://schemas.openxmlformats.org/officeDocument/2006/relationships/footer" Target="footer1.xml"/><Relationship Id="rId8" Type="http://schemas.openxmlformats.org/officeDocument/2006/relationships/hyperlink" Target="http://www.nevo.co.il/law/72866/9.c1e" TargetMode="External"/><Relationship Id="rId51" Type="http://schemas.openxmlformats.org/officeDocument/2006/relationships/hyperlink" Target="http://www.nevo.co.il/law/72866"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4964</Words>
  <Characters>24821</Characters>
  <Application>Microsoft Office Word</Application>
  <DocSecurity>0</DocSecurity>
  <Lines>206</Lines>
  <Paragraphs>59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orit כהן</cp:lastModifiedBy>
  <cp:revision>2</cp:revision>
  <dcterms:created xsi:type="dcterms:W3CDTF">2025-03-12T19:30:00Z</dcterms:created>
  <dcterms:modified xsi:type="dcterms:W3CDTF">2025-03-12T19:30:00Z</dcterms:modified>
</cp:coreProperties>
</file>