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50D8A" w14:textId="77777777" w:rsidR="00916FF8" w:rsidRPr="00377102" w:rsidRDefault="00916FF8">
      <w:pPr>
        <w:jc w:val="right"/>
        <w:rPr>
          <w:rFonts w:cs="Miriam"/>
          <w:b/>
          <w:bCs/>
          <w:sz w:val="16"/>
          <w:szCs w:val="16"/>
          <w:u w:val="single"/>
        </w:rPr>
      </w:pPr>
    </w:p>
    <w:tbl>
      <w:tblPr>
        <w:bidiVisual/>
        <w:tblW w:w="8363" w:type="dxa"/>
        <w:tblInd w:w="9" w:type="dxa"/>
        <w:tblLook w:val="0000" w:firstRow="0" w:lastRow="0" w:firstColumn="0" w:lastColumn="0" w:noHBand="0" w:noVBand="0"/>
      </w:tblPr>
      <w:tblGrid>
        <w:gridCol w:w="8363"/>
      </w:tblGrid>
      <w:tr w:rsidR="00036227" w14:paraId="2B6D01B0" w14:textId="77777777" w:rsidTr="0039709B">
        <w:tc>
          <w:tcPr>
            <w:tcW w:w="7848" w:type="dxa"/>
          </w:tcPr>
          <w:p w14:paraId="36D52EB1" w14:textId="77777777" w:rsidR="00916FF8" w:rsidRPr="00624A42" w:rsidRDefault="005A6F06" w:rsidP="004C7868">
            <w:pPr>
              <w:pStyle w:val="FileNumber0"/>
              <w:rPr>
                <w:sz w:val="28"/>
                <w:u w:val="single"/>
                <w:rtl/>
              </w:rPr>
            </w:pPr>
            <w:r>
              <w:rPr>
                <w:u w:val="single"/>
                <w:rtl/>
              </w:rPr>
              <w:t>בבית המשפט העליון</w:t>
            </w:r>
          </w:p>
        </w:tc>
      </w:tr>
    </w:tbl>
    <w:p w14:paraId="0FE6780F" w14:textId="77777777" w:rsidR="00916FF8" w:rsidRDefault="00916FF8">
      <w:pPr>
        <w:jc w:val="right"/>
        <w:rPr>
          <w:rFonts w:cs="Miriam"/>
          <w:b/>
          <w:bCs/>
          <w:u w:val="single"/>
        </w:rPr>
      </w:pPr>
    </w:p>
    <w:tbl>
      <w:tblPr>
        <w:bidiVisual/>
        <w:tblW w:w="8363" w:type="dxa"/>
        <w:tblLook w:val="0000" w:firstRow="0" w:lastRow="0" w:firstColumn="0" w:lastColumn="0" w:noHBand="0" w:noVBand="0"/>
      </w:tblPr>
      <w:tblGrid>
        <w:gridCol w:w="8363"/>
      </w:tblGrid>
      <w:tr w:rsidR="00036227" w14:paraId="53E542F2" w14:textId="77777777" w:rsidTr="0039709B">
        <w:trPr>
          <w:trHeight w:val="342"/>
        </w:trPr>
        <w:tc>
          <w:tcPr>
            <w:tcW w:w="9828" w:type="dxa"/>
          </w:tcPr>
          <w:p w14:paraId="179896FE" w14:textId="77777777" w:rsidR="00916FF8" w:rsidRPr="00810894" w:rsidRDefault="005A6F06">
            <w:pPr>
              <w:pStyle w:val="FileNumber"/>
              <w:rPr>
                <w:sz w:val="28"/>
                <w:szCs w:val="28"/>
              </w:rPr>
            </w:pPr>
            <w:bookmarkStart w:id="0" w:name="casename_body"/>
            <w:r>
              <w:rPr>
                <w:sz w:val="28"/>
                <w:szCs w:val="28"/>
                <w:rtl/>
              </w:rPr>
              <w:t>רע"א  2804/20</w:t>
            </w:r>
          </w:p>
        </w:tc>
      </w:tr>
      <w:bookmarkEnd w:id="0"/>
    </w:tbl>
    <w:p w14:paraId="1D46325B" w14:textId="77777777" w:rsidR="00916FF8" w:rsidRDefault="00916FF8">
      <w:pPr>
        <w:jc w:val="right"/>
        <w:rPr>
          <w:rFonts w:cs="Miriam"/>
          <w:b/>
          <w:bCs/>
          <w:u w:val="single"/>
        </w:rPr>
      </w:pPr>
    </w:p>
    <w:tbl>
      <w:tblPr>
        <w:bidiVisual/>
        <w:tblW w:w="8364" w:type="dxa"/>
        <w:tblLayout w:type="fixed"/>
        <w:tblLook w:val="0000" w:firstRow="0" w:lastRow="0" w:firstColumn="0" w:lastColumn="0" w:noHBand="0" w:noVBand="0"/>
      </w:tblPr>
      <w:tblGrid>
        <w:gridCol w:w="3210"/>
        <w:gridCol w:w="5154"/>
      </w:tblGrid>
      <w:tr w:rsidR="00036227" w14:paraId="5E00B25A" w14:textId="77777777" w:rsidTr="00EC23AC">
        <w:trPr>
          <w:trHeight w:val="287"/>
        </w:trPr>
        <w:tc>
          <w:tcPr>
            <w:tcW w:w="3261" w:type="dxa"/>
          </w:tcPr>
          <w:p w14:paraId="29068AE0" w14:textId="77777777" w:rsidR="00036227" w:rsidRDefault="00CB7600">
            <w:pPr>
              <w:pStyle w:val="BodyRuller"/>
              <w:rPr>
                <w:rFonts w:cs="Miriam"/>
                <w:b/>
                <w:bCs/>
                <w:u w:val="single"/>
              </w:rPr>
            </w:pPr>
            <w:r>
              <w:rPr>
                <w:rFonts w:hint="cs"/>
                <w:rtl/>
              </w:rPr>
              <w:t>ל</w:t>
            </w:r>
            <w:r w:rsidR="00036227">
              <w:rPr>
                <w:rtl/>
              </w:rPr>
              <w:t>פני:</w:t>
            </w:r>
            <w:r w:rsidR="00036227">
              <w:rPr>
                <w:rtl/>
              </w:rPr>
              <w:tab/>
            </w:r>
          </w:p>
        </w:tc>
        <w:tc>
          <w:tcPr>
            <w:tcW w:w="5239" w:type="dxa"/>
          </w:tcPr>
          <w:p w14:paraId="7B0A8797" w14:textId="77777777" w:rsidR="00036227" w:rsidRDefault="005A6F06">
            <w:pPr>
              <w:pStyle w:val="BodyRuller"/>
            </w:pPr>
            <w:r>
              <w:rPr>
                <w:rtl/>
              </w:rPr>
              <w:t xml:space="preserve">כבוד השופט נ' </w:t>
            </w:r>
            <w:proofErr w:type="spellStart"/>
            <w:r>
              <w:rPr>
                <w:rtl/>
              </w:rPr>
              <w:t>סולברג</w:t>
            </w:r>
            <w:proofErr w:type="spellEnd"/>
          </w:p>
        </w:tc>
      </w:tr>
    </w:tbl>
    <w:p w14:paraId="5BC70255" w14:textId="77777777" w:rsidR="00916FF8" w:rsidRDefault="00916FF8">
      <w:pPr>
        <w:pStyle w:val="Ruller3"/>
        <w:rPr>
          <w:rFonts w:cs="Miriam"/>
          <w:b/>
          <w:bCs/>
          <w:u w:val="single"/>
          <w:rtl/>
        </w:rPr>
      </w:pPr>
    </w:p>
    <w:tbl>
      <w:tblPr>
        <w:bidiVisual/>
        <w:tblW w:w="8368" w:type="dxa"/>
        <w:tblInd w:w="132" w:type="dxa"/>
        <w:tblLayout w:type="fixed"/>
        <w:tblLook w:val="04A0" w:firstRow="1" w:lastRow="0" w:firstColumn="1" w:lastColumn="0" w:noHBand="0" w:noVBand="1"/>
      </w:tblPr>
      <w:tblGrid>
        <w:gridCol w:w="3261"/>
        <w:gridCol w:w="5107"/>
      </w:tblGrid>
      <w:tr w:rsidR="002B23C0" w14:paraId="458DCB38" w14:textId="77777777" w:rsidTr="005C3DB9">
        <w:trPr>
          <w:trHeight w:val="287"/>
        </w:trPr>
        <w:tc>
          <w:tcPr>
            <w:tcW w:w="3261" w:type="dxa"/>
            <w:hideMark/>
          </w:tcPr>
          <w:p w14:paraId="7CB15656" w14:textId="77777777" w:rsidR="002B23C0" w:rsidRDefault="002B23C0">
            <w:pPr>
              <w:pStyle w:val="BodyRuller"/>
              <w:rPr>
                <w:rFonts w:ascii="David" w:hAnsi="David"/>
              </w:rPr>
            </w:pPr>
            <w:r>
              <w:rPr>
                <w:rFonts w:ascii="David" w:hAnsi="David"/>
                <w:rtl/>
              </w:rPr>
              <w:t>המבקשות:</w:t>
            </w:r>
          </w:p>
        </w:tc>
        <w:tc>
          <w:tcPr>
            <w:tcW w:w="5107" w:type="dxa"/>
            <w:hideMark/>
          </w:tcPr>
          <w:p w14:paraId="3A4A0AD1" w14:textId="77777777" w:rsidR="002B23C0" w:rsidRDefault="002B23C0">
            <w:pPr>
              <w:pStyle w:val="BodyRuller"/>
            </w:pPr>
            <w:r>
              <w:rPr>
                <w:rtl/>
              </w:rPr>
              <w:t>1. אמן מחשבים בע"מ</w:t>
            </w:r>
          </w:p>
        </w:tc>
      </w:tr>
      <w:tr w:rsidR="002B23C0" w14:paraId="531CB99C" w14:textId="77777777" w:rsidTr="005C3DB9">
        <w:trPr>
          <w:trHeight w:val="287"/>
        </w:trPr>
        <w:tc>
          <w:tcPr>
            <w:tcW w:w="3261" w:type="dxa"/>
          </w:tcPr>
          <w:p w14:paraId="6BB9EE45" w14:textId="77777777" w:rsidR="002B23C0" w:rsidRDefault="002B23C0">
            <w:pPr>
              <w:pStyle w:val="BodyRuller"/>
              <w:rPr>
                <w:rFonts w:ascii="David" w:hAnsi="David"/>
              </w:rPr>
            </w:pPr>
          </w:p>
        </w:tc>
        <w:tc>
          <w:tcPr>
            <w:tcW w:w="5107" w:type="dxa"/>
            <w:hideMark/>
          </w:tcPr>
          <w:p w14:paraId="56F6BF7B" w14:textId="77777777" w:rsidR="002B23C0" w:rsidRDefault="002B23C0">
            <w:pPr>
              <w:pStyle w:val="BodyRuller"/>
              <w:rPr>
                <w:rtl/>
              </w:rPr>
            </w:pPr>
            <w:r>
              <w:rPr>
                <w:rtl/>
              </w:rPr>
              <w:t xml:space="preserve">2. </w:t>
            </w:r>
            <w:proofErr w:type="spellStart"/>
            <w:r>
              <w:rPr>
                <w:rtl/>
              </w:rPr>
              <w:t>וריאסט</w:t>
            </w:r>
            <w:proofErr w:type="spellEnd"/>
            <w:r>
              <w:rPr>
                <w:rtl/>
              </w:rPr>
              <w:t xml:space="preserve"> </w:t>
            </w:r>
            <w:proofErr w:type="spellStart"/>
            <w:r>
              <w:rPr>
                <w:rtl/>
              </w:rPr>
              <w:t>סולושנס</w:t>
            </w:r>
            <w:proofErr w:type="spellEnd"/>
            <w:r>
              <w:rPr>
                <w:rtl/>
              </w:rPr>
              <w:t xml:space="preserve"> בע"מ</w:t>
            </w:r>
          </w:p>
        </w:tc>
      </w:tr>
    </w:tbl>
    <w:p w14:paraId="10096D0B" w14:textId="77777777" w:rsidR="002B23C0" w:rsidRDefault="002B23C0" w:rsidP="002B23C0">
      <w:pPr>
        <w:pStyle w:val="Ruller3"/>
        <w:spacing w:line="240" w:lineRule="auto"/>
        <w:rPr>
          <w:rtl/>
        </w:rPr>
      </w:pPr>
    </w:p>
    <w:tbl>
      <w:tblPr>
        <w:bidiVisual/>
        <w:tblW w:w="8363" w:type="dxa"/>
        <w:tblLook w:val="04A0" w:firstRow="1" w:lastRow="0" w:firstColumn="1" w:lastColumn="0" w:noHBand="0" w:noVBand="1"/>
      </w:tblPr>
      <w:tblGrid>
        <w:gridCol w:w="3222"/>
        <w:gridCol w:w="5141"/>
      </w:tblGrid>
      <w:tr w:rsidR="002B23C0" w14:paraId="259D6A78" w14:textId="77777777" w:rsidTr="002B23C0">
        <w:tc>
          <w:tcPr>
            <w:tcW w:w="3284" w:type="dxa"/>
          </w:tcPr>
          <w:p w14:paraId="54A8EA87" w14:textId="77777777" w:rsidR="002B23C0" w:rsidRDefault="002B23C0">
            <w:pPr>
              <w:pStyle w:val="BodyRuller"/>
            </w:pPr>
          </w:p>
        </w:tc>
        <w:tc>
          <w:tcPr>
            <w:tcW w:w="5238" w:type="dxa"/>
            <w:hideMark/>
          </w:tcPr>
          <w:p w14:paraId="6F3A2B56" w14:textId="77777777" w:rsidR="002B23C0" w:rsidRDefault="002B23C0">
            <w:pPr>
              <w:pStyle w:val="BodyRuller"/>
            </w:pPr>
            <w:r>
              <w:rPr>
                <w:rtl/>
              </w:rPr>
              <w:t>נ</w:t>
            </w:r>
            <w:r>
              <w:t xml:space="preserve">  </w:t>
            </w:r>
            <w:r>
              <w:rPr>
                <w:rtl/>
              </w:rPr>
              <w:t>ג</w:t>
            </w:r>
            <w:r>
              <w:t xml:space="preserve">  </w:t>
            </w:r>
            <w:r>
              <w:rPr>
                <w:rtl/>
              </w:rPr>
              <w:t>ד</w:t>
            </w:r>
          </w:p>
        </w:tc>
      </w:tr>
    </w:tbl>
    <w:p w14:paraId="230A4A8C" w14:textId="77777777" w:rsidR="002B23C0" w:rsidRDefault="002B23C0" w:rsidP="002B23C0">
      <w:pPr>
        <w:pStyle w:val="Ruller3"/>
        <w:spacing w:line="240" w:lineRule="auto"/>
      </w:pPr>
    </w:p>
    <w:tbl>
      <w:tblPr>
        <w:bidiVisual/>
        <w:tblW w:w="8368" w:type="dxa"/>
        <w:tblInd w:w="132" w:type="dxa"/>
        <w:tblLayout w:type="fixed"/>
        <w:tblLook w:val="04A0" w:firstRow="1" w:lastRow="0" w:firstColumn="1" w:lastColumn="0" w:noHBand="0" w:noVBand="1"/>
      </w:tblPr>
      <w:tblGrid>
        <w:gridCol w:w="3261"/>
        <w:gridCol w:w="5107"/>
      </w:tblGrid>
      <w:tr w:rsidR="002B23C0" w14:paraId="26E6C5E5" w14:textId="77777777" w:rsidTr="005C3DB9">
        <w:trPr>
          <w:trHeight w:val="287"/>
        </w:trPr>
        <w:tc>
          <w:tcPr>
            <w:tcW w:w="3261" w:type="dxa"/>
            <w:hideMark/>
          </w:tcPr>
          <w:p w14:paraId="5CDAA53D" w14:textId="77777777" w:rsidR="002B23C0" w:rsidRDefault="002B23C0">
            <w:pPr>
              <w:pStyle w:val="BodyRuller"/>
              <w:rPr>
                <w:rFonts w:ascii="David" w:hAnsi="David"/>
                <w:rtl/>
              </w:rPr>
            </w:pPr>
            <w:r>
              <w:rPr>
                <w:rFonts w:ascii="David" w:hAnsi="David"/>
                <w:rtl/>
              </w:rPr>
              <w:t>המשיבים:</w:t>
            </w:r>
          </w:p>
        </w:tc>
        <w:tc>
          <w:tcPr>
            <w:tcW w:w="5107" w:type="dxa"/>
            <w:hideMark/>
          </w:tcPr>
          <w:p w14:paraId="4B0200D5" w14:textId="77777777" w:rsidR="002B23C0" w:rsidRDefault="002B23C0">
            <w:pPr>
              <w:pStyle w:val="BodyRuller"/>
            </w:pPr>
            <w:r>
              <w:rPr>
                <w:rtl/>
              </w:rPr>
              <w:t>1. חגי ארבל</w:t>
            </w:r>
          </w:p>
        </w:tc>
      </w:tr>
      <w:tr w:rsidR="002B23C0" w14:paraId="2D99A7AC" w14:textId="77777777" w:rsidTr="005C3DB9">
        <w:trPr>
          <w:trHeight w:val="287"/>
        </w:trPr>
        <w:tc>
          <w:tcPr>
            <w:tcW w:w="3261" w:type="dxa"/>
          </w:tcPr>
          <w:p w14:paraId="7E42A5D9" w14:textId="77777777" w:rsidR="002B23C0" w:rsidRDefault="002B23C0">
            <w:pPr>
              <w:pStyle w:val="BodyRuller"/>
              <w:rPr>
                <w:rFonts w:ascii="David" w:hAnsi="David"/>
              </w:rPr>
            </w:pPr>
          </w:p>
        </w:tc>
        <w:tc>
          <w:tcPr>
            <w:tcW w:w="5107" w:type="dxa"/>
            <w:hideMark/>
          </w:tcPr>
          <w:p w14:paraId="5DE176DB" w14:textId="77777777" w:rsidR="002B23C0" w:rsidRDefault="002B23C0">
            <w:pPr>
              <w:pStyle w:val="BodyRuller"/>
              <w:rPr>
                <w:rtl/>
              </w:rPr>
            </w:pPr>
            <w:r>
              <w:rPr>
                <w:rtl/>
              </w:rPr>
              <w:t xml:space="preserve">2. </w:t>
            </w:r>
            <w:proofErr w:type="spellStart"/>
            <w:r>
              <w:rPr>
                <w:rtl/>
              </w:rPr>
              <w:t>וריאסט</w:t>
            </w:r>
            <w:proofErr w:type="spellEnd"/>
            <w:r>
              <w:rPr>
                <w:rtl/>
              </w:rPr>
              <w:t xml:space="preserve"> </w:t>
            </w:r>
            <w:proofErr w:type="spellStart"/>
            <w:r>
              <w:rPr>
                <w:rtl/>
              </w:rPr>
              <w:t>ונצ'ר</w:t>
            </w:r>
            <w:proofErr w:type="spellEnd"/>
          </w:p>
        </w:tc>
      </w:tr>
    </w:tbl>
    <w:p w14:paraId="7AC22B7A" w14:textId="77777777" w:rsidR="002B23C0" w:rsidRDefault="002B23C0" w:rsidP="002B23C0">
      <w:pPr>
        <w:pStyle w:val="Ruller3"/>
        <w:spacing w:line="240" w:lineRule="auto"/>
        <w:rPr>
          <w:rtl/>
        </w:rPr>
      </w:pPr>
    </w:p>
    <w:tbl>
      <w:tblPr>
        <w:bidiVisual/>
        <w:tblW w:w="0" w:type="auto"/>
        <w:tblInd w:w="3209" w:type="dxa"/>
        <w:tblLook w:val="04A0" w:firstRow="1" w:lastRow="0" w:firstColumn="1" w:lastColumn="0" w:noHBand="0" w:noVBand="1"/>
      </w:tblPr>
      <w:tblGrid>
        <w:gridCol w:w="5103"/>
      </w:tblGrid>
      <w:tr w:rsidR="002B23C0" w14:paraId="69052C95" w14:textId="77777777" w:rsidTr="002B23C0">
        <w:tc>
          <w:tcPr>
            <w:tcW w:w="5103" w:type="dxa"/>
            <w:hideMark/>
          </w:tcPr>
          <w:p w14:paraId="060AD7CB" w14:textId="77777777" w:rsidR="002B23C0" w:rsidRDefault="002B23C0" w:rsidP="005C3DB9">
            <w:pPr>
              <w:pStyle w:val="BodyRuller"/>
              <w:jc w:val="both"/>
              <w:rPr>
                <w:sz w:val="24"/>
                <w:szCs w:val="24"/>
              </w:rPr>
            </w:pPr>
            <w:r>
              <w:rPr>
                <w:sz w:val="24"/>
                <w:szCs w:val="24"/>
                <w:rtl/>
              </w:rPr>
              <w:t xml:space="preserve">בקשת רשות ערעור על החלטת בית המשפט המחוזי בתל אביב-יפו מיום 23.2.2020 בת"א </w:t>
            </w:r>
            <w:r w:rsidR="005C3DB9" w:rsidRPr="005C3DB9">
              <w:rPr>
                <w:rFonts w:hint="cs"/>
                <w:sz w:val="18"/>
                <w:szCs w:val="24"/>
                <w:rtl/>
              </w:rPr>
              <w:t>64687-07-17</w:t>
            </w:r>
            <w:r w:rsidR="005C3DB9" w:rsidRPr="005C3DB9">
              <w:rPr>
                <w:rFonts w:hint="cs"/>
                <w:sz w:val="20"/>
                <w:szCs w:val="20"/>
                <w:rtl/>
              </w:rPr>
              <w:t xml:space="preserve"> </w:t>
            </w:r>
            <w:r>
              <w:rPr>
                <w:sz w:val="24"/>
                <w:szCs w:val="24"/>
                <w:rtl/>
              </w:rPr>
              <w:t>ניתנה על ידי כבוד השופט ר' כהן</w:t>
            </w:r>
          </w:p>
        </w:tc>
      </w:tr>
    </w:tbl>
    <w:p w14:paraId="068C45EC" w14:textId="77777777" w:rsidR="002B23C0" w:rsidRDefault="002B23C0" w:rsidP="002B23C0">
      <w:pPr>
        <w:pStyle w:val="Ruller3"/>
        <w:spacing w:line="240" w:lineRule="auto"/>
      </w:pPr>
    </w:p>
    <w:tbl>
      <w:tblPr>
        <w:bidiVisual/>
        <w:tblW w:w="8363" w:type="dxa"/>
        <w:tblLook w:val="04A0" w:firstRow="1" w:lastRow="0" w:firstColumn="1" w:lastColumn="0" w:noHBand="0" w:noVBand="1"/>
      </w:tblPr>
      <w:tblGrid>
        <w:gridCol w:w="3233"/>
        <w:gridCol w:w="5130"/>
      </w:tblGrid>
      <w:tr w:rsidR="002B23C0" w14:paraId="7D4CA913" w14:textId="77777777" w:rsidTr="002B23C0">
        <w:tc>
          <w:tcPr>
            <w:tcW w:w="3284" w:type="dxa"/>
            <w:hideMark/>
          </w:tcPr>
          <w:p w14:paraId="4E631087" w14:textId="77777777" w:rsidR="002B23C0" w:rsidRDefault="002B23C0">
            <w:pPr>
              <w:pStyle w:val="BodyRuller"/>
              <w:rPr>
                <w:rtl/>
              </w:rPr>
            </w:pPr>
            <w:r>
              <w:rPr>
                <w:rtl/>
              </w:rPr>
              <w:t>בשם המבקשות:</w:t>
            </w:r>
          </w:p>
        </w:tc>
        <w:tc>
          <w:tcPr>
            <w:tcW w:w="5238" w:type="dxa"/>
            <w:hideMark/>
          </w:tcPr>
          <w:p w14:paraId="497DE1CF" w14:textId="77777777" w:rsidR="002B23C0" w:rsidRDefault="002B23C0">
            <w:pPr>
              <w:pStyle w:val="BodyRuller"/>
            </w:pPr>
            <w:r>
              <w:rPr>
                <w:rtl/>
              </w:rPr>
              <w:t>עו"ד ד"ר רוי בר-</w:t>
            </w:r>
            <w:proofErr w:type="spellStart"/>
            <w:r>
              <w:rPr>
                <w:rtl/>
              </w:rPr>
              <w:t>קהן</w:t>
            </w:r>
            <w:proofErr w:type="spellEnd"/>
            <w:r>
              <w:rPr>
                <w:rtl/>
              </w:rPr>
              <w:t xml:space="preserve">; עו"ד לי-אור חליבה </w:t>
            </w:r>
            <w:proofErr w:type="spellStart"/>
            <w:r>
              <w:rPr>
                <w:rtl/>
              </w:rPr>
              <w:t>וסרשטיין</w:t>
            </w:r>
            <w:proofErr w:type="spellEnd"/>
          </w:p>
        </w:tc>
      </w:tr>
    </w:tbl>
    <w:p w14:paraId="00FF26CE" w14:textId="77777777" w:rsidR="002B23C0" w:rsidRDefault="002B23C0" w:rsidP="002B23C0">
      <w:pPr>
        <w:pStyle w:val="Ruller3"/>
        <w:spacing w:line="240" w:lineRule="auto"/>
      </w:pPr>
    </w:p>
    <w:tbl>
      <w:tblPr>
        <w:bidiVisual/>
        <w:tblW w:w="8363" w:type="dxa"/>
        <w:tblLook w:val="0000" w:firstRow="0" w:lastRow="0" w:firstColumn="0" w:lastColumn="0" w:noHBand="0" w:noVBand="0"/>
      </w:tblPr>
      <w:tblGrid>
        <w:gridCol w:w="3231"/>
        <w:gridCol w:w="5132"/>
      </w:tblGrid>
      <w:tr w:rsidR="002B23C0" w14:paraId="363A2688" w14:textId="77777777" w:rsidTr="0039709B">
        <w:tc>
          <w:tcPr>
            <w:tcW w:w="3284" w:type="dxa"/>
          </w:tcPr>
          <w:p w14:paraId="57806BB3" w14:textId="77777777" w:rsidR="002B23C0" w:rsidRDefault="002B23C0">
            <w:pPr>
              <w:pStyle w:val="BodyRuller"/>
            </w:pPr>
            <w:r>
              <w:rPr>
                <w:rFonts w:hint="cs"/>
                <w:rtl/>
              </w:rPr>
              <w:t>בשם המשיבים:</w:t>
            </w:r>
          </w:p>
        </w:tc>
        <w:tc>
          <w:tcPr>
            <w:tcW w:w="5238" w:type="dxa"/>
          </w:tcPr>
          <w:p w14:paraId="74B09B13" w14:textId="77777777" w:rsidR="002B23C0" w:rsidRDefault="002B23C0">
            <w:pPr>
              <w:pStyle w:val="BodyRuller"/>
            </w:pPr>
            <w:r>
              <w:rPr>
                <w:rFonts w:hint="cs"/>
                <w:rtl/>
              </w:rPr>
              <w:t xml:space="preserve">עו"ד </w:t>
            </w:r>
            <w:r w:rsidR="005C3DB9">
              <w:rPr>
                <w:rFonts w:hint="cs"/>
                <w:rtl/>
              </w:rPr>
              <w:t xml:space="preserve">אריאל </w:t>
            </w:r>
            <w:proofErr w:type="spellStart"/>
            <w:r w:rsidR="005C3DB9">
              <w:rPr>
                <w:rFonts w:hint="cs"/>
                <w:rtl/>
              </w:rPr>
              <w:t>שימקביץ</w:t>
            </w:r>
            <w:proofErr w:type="spellEnd"/>
            <w:r w:rsidR="005C3DB9">
              <w:rPr>
                <w:rFonts w:hint="cs"/>
                <w:rtl/>
              </w:rPr>
              <w:t xml:space="preserve">; עו"ד משה </w:t>
            </w:r>
            <w:proofErr w:type="spellStart"/>
            <w:r w:rsidR="005C3DB9">
              <w:rPr>
                <w:rFonts w:hint="cs"/>
                <w:rtl/>
              </w:rPr>
              <w:t>גולדשלגר</w:t>
            </w:r>
            <w:proofErr w:type="spellEnd"/>
          </w:p>
        </w:tc>
      </w:tr>
    </w:tbl>
    <w:p w14:paraId="6FE50858" w14:textId="77777777" w:rsidR="00916FF8" w:rsidRPr="002B23C0" w:rsidRDefault="00916FF8">
      <w:pPr>
        <w:pStyle w:val="Ruller3"/>
      </w:pPr>
    </w:p>
    <w:tbl>
      <w:tblPr>
        <w:bidiVisual/>
        <w:tblW w:w="8363" w:type="dxa"/>
        <w:tblLook w:val="0000" w:firstRow="0" w:lastRow="0" w:firstColumn="0" w:lastColumn="0" w:noHBand="0" w:noVBand="0"/>
      </w:tblPr>
      <w:tblGrid>
        <w:gridCol w:w="8363"/>
      </w:tblGrid>
      <w:tr w:rsidR="00036227" w14:paraId="3E305BCD" w14:textId="77777777" w:rsidTr="005C3DB9">
        <w:tc>
          <w:tcPr>
            <w:tcW w:w="8363" w:type="dxa"/>
          </w:tcPr>
          <w:p w14:paraId="407E091C" w14:textId="77777777" w:rsidR="00916FF8" w:rsidRDefault="00335B66">
            <w:pPr>
              <w:pStyle w:val="DocumentHead"/>
            </w:pPr>
            <w:bookmarkStart w:id="1" w:name="secretary"/>
            <w:bookmarkStart w:id="2" w:name="BeginProtocol"/>
            <w:bookmarkEnd w:id="1"/>
            <w:bookmarkEnd w:id="2"/>
            <w:r>
              <w:rPr>
                <w:rFonts w:hint="cs"/>
                <w:rtl/>
              </w:rPr>
              <w:t>פסק-דין</w:t>
            </w:r>
          </w:p>
        </w:tc>
      </w:tr>
    </w:tbl>
    <w:p w14:paraId="603E9F23" w14:textId="77777777" w:rsidR="005C3DB9" w:rsidRPr="004F0D5B" w:rsidRDefault="005C3DB9" w:rsidP="005C3DB9">
      <w:pPr>
        <w:pStyle w:val="Ruller4"/>
      </w:pPr>
    </w:p>
    <w:p w14:paraId="5D6BEF7C" w14:textId="77777777" w:rsidR="005C3DB9" w:rsidRDefault="005C3DB9" w:rsidP="005C3DB9">
      <w:pPr>
        <w:pStyle w:val="Ruller4"/>
        <w:rPr>
          <w:rtl/>
        </w:rPr>
      </w:pPr>
      <w:r w:rsidRPr="00A92CDD">
        <w:rPr>
          <w:rFonts w:hint="cs"/>
          <w:rtl/>
        </w:rPr>
        <w:t>1.</w:t>
      </w:r>
      <w:r w:rsidRPr="00A92CDD">
        <w:rPr>
          <w:rtl/>
        </w:rPr>
        <w:tab/>
        <w:t xml:space="preserve">בקשת רשות ערעור על החלטת בית המשפט המחוזי </w:t>
      </w:r>
      <w:r>
        <w:rPr>
          <w:rFonts w:hint="cs"/>
          <w:rtl/>
        </w:rPr>
        <w:t>בתל אביב-יפו מיום 23.2.2020, בת"א 64687-07-17 (השופט</w:t>
      </w:r>
      <w:r w:rsidRPr="00A92CDD">
        <w:rPr>
          <w:rFonts w:hint="cs"/>
          <w:rtl/>
        </w:rPr>
        <w:t xml:space="preserve"> </w:t>
      </w:r>
      <w:r w:rsidRPr="007108E9">
        <w:rPr>
          <w:rStyle w:val="Char"/>
          <w:rFonts w:ascii="Century" w:hAnsi="Century" w:hint="cs"/>
          <w:b/>
          <w:spacing w:val="0"/>
          <w:rtl/>
        </w:rPr>
        <w:t>ר' כהן</w:t>
      </w:r>
      <w:r w:rsidRPr="00A92CDD">
        <w:rPr>
          <w:rtl/>
        </w:rPr>
        <w:t>)</w:t>
      </w:r>
      <w:r>
        <w:rPr>
          <w:rFonts w:hint="cs"/>
          <w:rtl/>
        </w:rPr>
        <w:t>, שבה הוכרעו בקשות הדדיות של הצדדים לגילוי ועיון במסמכים.</w:t>
      </w:r>
    </w:p>
    <w:p w14:paraId="10CF45DC" w14:textId="77777777" w:rsidR="005C3DB9" w:rsidRDefault="005C3DB9" w:rsidP="00A90B22">
      <w:pPr>
        <w:pStyle w:val="Ruller4"/>
        <w:spacing w:line="240" w:lineRule="auto"/>
        <w:rPr>
          <w:rtl/>
        </w:rPr>
      </w:pPr>
    </w:p>
    <w:p w14:paraId="7AB7CC47" w14:textId="77777777" w:rsidR="005C3DB9" w:rsidRDefault="005C3DB9" w:rsidP="0061475C">
      <w:pPr>
        <w:pStyle w:val="Ruller4"/>
        <w:rPr>
          <w:rtl/>
        </w:rPr>
      </w:pPr>
      <w:r>
        <w:rPr>
          <w:rFonts w:hint="cs"/>
          <w:rtl/>
        </w:rPr>
        <w:t>2.</w:t>
      </w:r>
      <w:r>
        <w:rPr>
          <w:rtl/>
        </w:rPr>
        <w:tab/>
      </w:r>
      <w:r>
        <w:rPr>
          <w:rFonts w:hint="cs"/>
          <w:rtl/>
        </w:rPr>
        <w:t xml:space="preserve">בשנת 2013 נרקמה עסקה לשיתוף פעולה עסקי בין המשיבים למבקשת 1, אמן מחשבים בע"מ (להלן: </w:t>
      </w:r>
      <w:r w:rsidRPr="002B719A">
        <w:rPr>
          <w:rFonts w:ascii="Century" w:hAnsi="Century" w:cs="Miriam" w:hint="cs"/>
          <w:b/>
          <w:spacing w:val="0"/>
          <w:szCs w:val="24"/>
          <w:rtl/>
        </w:rPr>
        <w:t>אמן</w:t>
      </w:r>
      <w:r w:rsidR="0061475C">
        <w:rPr>
          <w:rFonts w:hint="cs"/>
          <w:rtl/>
        </w:rPr>
        <w:t>). על-</w:t>
      </w:r>
      <w:r>
        <w:rPr>
          <w:rFonts w:hint="cs"/>
          <w:rtl/>
        </w:rPr>
        <w:t xml:space="preserve">פי העסקה, הוקמה המבקשת 2, חברת </w:t>
      </w:r>
      <w:proofErr w:type="spellStart"/>
      <w:r>
        <w:rPr>
          <w:rFonts w:hint="cs"/>
          <w:rtl/>
        </w:rPr>
        <w:t>וריאסט</w:t>
      </w:r>
      <w:proofErr w:type="spellEnd"/>
      <w:r>
        <w:rPr>
          <w:rFonts w:hint="cs"/>
          <w:rtl/>
        </w:rPr>
        <w:t xml:space="preserve"> </w:t>
      </w:r>
      <w:proofErr w:type="spellStart"/>
      <w:r>
        <w:rPr>
          <w:rFonts w:hint="cs"/>
          <w:rtl/>
        </w:rPr>
        <w:t>סולושנס</w:t>
      </w:r>
      <w:proofErr w:type="spellEnd"/>
      <w:r>
        <w:rPr>
          <w:rFonts w:hint="cs"/>
          <w:rtl/>
        </w:rPr>
        <w:t xml:space="preserve"> בע"מ (להלן: </w:t>
      </w:r>
      <w:proofErr w:type="spellStart"/>
      <w:r w:rsidRPr="00765259">
        <w:rPr>
          <w:rFonts w:ascii="Century" w:hAnsi="Century" w:cs="Miriam" w:hint="cs"/>
          <w:b/>
          <w:spacing w:val="0"/>
          <w:szCs w:val="24"/>
          <w:rtl/>
        </w:rPr>
        <w:t>סולושנס</w:t>
      </w:r>
      <w:proofErr w:type="spellEnd"/>
      <w:r>
        <w:rPr>
          <w:rFonts w:hint="cs"/>
          <w:rtl/>
        </w:rPr>
        <w:t xml:space="preserve">), ועיקר פעילותה של המשיבה 2, חברת </w:t>
      </w:r>
      <w:proofErr w:type="spellStart"/>
      <w:r>
        <w:rPr>
          <w:rFonts w:hint="cs"/>
          <w:rtl/>
        </w:rPr>
        <w:t>וריאסט</w:t>
      </w:r>
      <w:proofErr w:type="spellEnd"/>
      <w:r>
        <w:rPr>
          <w:rFonts w:hint="cs"/>
          <w:rtl/>
        </w:rPr>
        <w:t xml:space="preserve"> </w:t>
      </w:r>
      <w:proofErr w:type="spellStart"/>
      <w:r>
        <w:rPr>
          <w:rFonts w:hint="cs"/>
          <w:rtl/>
        </w:rPr>
        <w:t>ונצ'ר</w:t>
      </w:r>
      <w:proofErr w:type="spellEnd"/>
      <w:r>
        <w:rPr>
          <w:rFonts w:hint="cs"/>
          <w:rtl/>
        </w:rPr>
        <w:t xml:space="preserve"> בע"מ (להלן: </w:t>
      </w:r>
      <w:proofErr w:type="spellStart"/>
      <w:r>
        <w:rPr>
          <w:rFonts w:ascii="Century" w:hAnsi="Century" w:cs="Miriam" w:hint="cs"/>
          <w:b/>
          <w:spacing w:val="0"/>
          <w:szCs w:val="24"/>
          <w:rtl/>
        </w:rPr>
        <w:t>ונצ'ר</w:t>
      </w:r>
      <w:proofErr w:type="spellEnd"/>
      <w:r>
        <w:rPr>
          <w:rFonts w:hint="cs"/>
          <w:rtl/>
        </w:rPr>
        <w:t xml:space="preserve">) הועבר </w:t>
      </w:r>
      <w:proofErr w:type="spellStart"/>
      <w:r>
        <w:rPr>
          <w:rFonts w:hint="cs"/>
          <w:rtl/>
        </w:rPr>
        <w:t>לסולושנס</w:t>
      </w:r>
      <w:proofErr w:type="spellEnd"/>
      <w:r>
        <w:rPr>
          <w:rFonts w:hint="cs"/>
          <w:rtl/>
        </w:rPr>
        <w:t xml:space="preserve">, למעט הפעילות הנוגעת למוצר בשם </w:t>
      </w:r>
      <w:proofErr w:type="spellStart"/>
      <w:r w:rsidRPr="0061475C">
        <w:rPr>
          <w:rFonts w:ascii="Century" w:hAnsi="Century"/>
          <w:sz w:val="24"/>
          <w:szCs w:val="30"/>
        </w:rPr>
        <w:t>Vtool</w:t>
      </w:r>
      <w:proofErr w:type="spellEnd"/>
      <w:r>
        <w:rPr>
          <w:rFonts w:hint="cs"/>
          <w:rtl/>
        </w:rPr>
        <w:t xml:space="preserve">. לצד העברת הפעילות, סוכמו בין הצדדים עניינים נוספים, בהם שניים הרלבנטיים לענייננו: </w:t>
      </w:r>
      <w:r>
        <w:rPr>
          <w:rFonts w:ascii="Century" w:hAnsi="Century" w:cs="Miriam" w:hint="cs"/>
          <w:b/>
          <w:spacing w:val="0"/>
          <w:szCs w:val="24"/>
          <w:rtl/>
        </w:rPr>
        <w:t>האחד</w:t>
      </w:r>
      <w:r w:rsidRPr="006902E6">
        <w:rPr>
          <w:rFonts w:hint="cs"/>
          <w:rtl/>
        </w:rPr>
        <w:t xml:space="preserve"> </w:t>
      </w:r>
      <w:r>
        <w:rPr>
          <w:rtl/>
        </w:rPr>
        <w:t>–</w:t>
      </w:r>
      <w:r>
        <w:rPr>
          <w:rFonts w:hint="cs"/>
          <w:rtl/>
        </w:rPr>
        <w:t xml:space="preserve"> </w:t>
      </w:r>
      <w:proofErr w:type="spellStart"/>
      <w:r>
        <w:rPr>
          <w:rFonts w:hint="cs"/>
          <w:rtl/>
        </w:rPr>
        <w:t>תניית</w:t>
      </w:r>
      <w:proofErr w:type="spellEnd"/>
      <w:r>
        <w:rPr>
          <w:rFonts w:hint="cs"/>
          <w:rtl/>
        </w:rPr>
        <w:t xml:space="preserve"> אי-תחרות, שעל פיה התחייב מר חגי ארבל, המשיב 1 ובעליה של </w:t>
      </w:r>
      <w:proofErr w:type="spellStart"/>
      <w:r>
        <w:rPr>
          <w:rFonts w:hint="cs"/>
          <w:rtl/>
        </w:rPr>
        <w:t>ונצ'ר</w:t>
      </w:r>
      <w:proofErr w:type="spellEnd"/>
      <w:r>
        <w:rPr>
          <w:rFonts w:hint="cs"/>
          <w:rtl/>
        </w:rPr>
        <w:t xml:space="preserve">, שלא להתחרות בתחום פעילותה של </w:t>
      </w:r>
      <w:proofErr w:type="spellStart"/>
      <w:r>
        <w:rPr>
          <w:rFonts w:hint="cs"/>
          <w:rtl/>
        </w:rPr>
        <w:t>סולושנס</w:t>
      </w:r>
      <w:proofErr w:type="spellEnd"/>
      <w:r>
        <w:rPr>
          <w:rFonts w:hint="cs"/>
          <w:rtl/>
        </w:rPr>
        <w:t xml:space="preserve">, במישרין או בעקיפין, וזאת לתקופה של 24 חודשים מיום שיפסיק לעבוד בה או להחזיק במניותיה. במסגרת זו נקבע עוד, כי יֵאסר על ארבל להעסיק או לקבל שירותים מעובדים או קבלני משנה של </w:t>
      </w:r>
      <w:proofErr w:type="spellStart"/>
      <w:r>
        <w:rPr>
          <w:rFonts w:hint="cs"/>
          <w:rtl/>
        </w:rPr>
        <w:t>סולושנס</w:t>
      </w:r>
      <w:proofErr w:type="spellEnd"/>
      <w:r>
        <w:rPr>
          <w:rFonts w:hint="cs"/>
          <w:rtl/>
        </w:rPr>
        <w:t xml:space="preserve"> בתקופה האמורה. עם זאת, מוצר ה-</w:t>
      </w:r>
      <w:proofErr w:type="spellStart"/>
      <w:r w:rsidRPr="002C6B7D">
        <w:rPr>
          <w:rFonts w:ascii="Century" w:hAnsi="Century" w:hint="cs"/>
        </w:rPr>
        <w:t>V</w:t>
      </w:r>
      <w:r w:rsidRPr="002C6B7D">
        <w:rPr>
          <w:rFonts w:ascii="Century" w:hAnsi="Century"/>
        </w:rPr>
        <w:t>tool</w:t>
      </w:r>
      <w:proofErr w:type="spellEnd"/>
      <w:r>
        <w:rPr>
          <w:rFonts w:hint="cs"/>
          <w:rtl/>
        </w:rPr>
        <w:t xml:space="preserve"> הוחרג </w:t>
      </w:r>
      <w:proofErr w:type="spellStart"/>
      <w:r>
        <w:rPr>
          <w:rFonts w:hint="cs"/>
          <w:rtl/>
        </w:rPr>
        <w:t>מתניית</w:t>
      </w:r>
      <w:proofErr w:type="spellEnd"/>
      <w:r>
        <w:rPr>
          <w:rFonts w:hint="cs"/>
          <w:rtl/>
        </w:rPr>
        <w:t xml:space="preserve"> אי-התחרות, והוסכם כי אם </w:t>
      </w:r>
      <w:r>
        <w:rPr>
          <w:rFonts w:hint="cs"/>
          <w:rtl/>
        </w:rPr>
        <w:lastRenderedPageBreak/>
        <w:t xml:space="preserve">ארבל </w:t>
      </w:r>
      <w:proofErr w:type="spellStart"/>
      <w:r>
        <w:rPr>
          <w:rFonts w:hint="cs"/>
          <w:rtl/>
        </w:rPr>
        <w:t>וונצ'ר</w:t>
      </w:r>
      <w:proofErr w:type="spellEnd"/>
      <w:r>
        <w:rPr>
          <w:rFonts w:hint="cs"/>
          <w:rtl/>
        </w:rPr>
        <w:t xml:space="preserve"> יהיו מעוניינים להמשיך בפיתוחו הם יוכלו לעשות זאת, ולא יהיה בכך משום תחרות עם </w:t>
      </w:r>
      <w:proofErr w:type="spellStart"/>
      <w:r>
        <w:rPr>
          <w:rFonts w:hint="cs"/>
          <w:rtl/>
        </w:rPr>
        <w:t>סולושנס</w:t>
      </w:r>
      <w:proofErr w:type="spellEnd"/>
      <w:r>
        <w:rPr>
          <w:rFonts w:hint="cs"/>
          <w:rtl/>
        </w:rPr>
        <w:t xml:space="preserve">; </w:t>
      </w:r>
      <w:r w:rsidRPr="006902E6">
        <w:rPr>
          <w:rFonts w:ascii="Century" w:hAnsi="Century" w:cs="Miriam" w:hint="cs"/>
          <w:b/>
          <w:spacing w:val="0"/>
          <w:szCs w:val="24"/>
          <w:rtl/>
        </w:rPr>
        <w:t>השני</w:t>
      </w:r>
      <w:r w:rsidRPr="006902E6">
        <w:rPr>
          <w:rFonts w:hint="cs"/>
          <w:rtl/>
        </w:rPr>
        <w:t xml:space="preserve"> </w:t>
      </w:r>
      <w:r>
        <w:rPr>
          <w:rtl/>
        </w:rPr>
        <w:t>–</w:t>
      </w:r>
      <w:r>
        <w:rPr>
          <w:rFonts w:hint="cs"/>
          <w:rtl/>
        </w:rPr>
        <w:t xml:space="preserve"> אופציות הדדיות של הצדדים לבצע רכישה או מכירה כפויה של מניותיו של ארבל. הוסכם כי מחיר המניות יקבע על</w:t>
      </w:r>
      <w:r w:rsidR="0061475C">
        <w:rPr>
          <w:rFonts w:hint="cs"/>
          <w:rtl/>
        </w:rPr>
        <w:t>-</w:t>
      </w:r>
      <w:r>
        <w:rPr>
          <w:rFonts w:hint="cs"/>
          <w:rtl/>
        </w:rPr>
        <w:t xml:space="preserve">פי נוסחה מוסכמת בין הצדדים, שלפיה מחירן ישתנה, בין היתר, בהתאם למידת רווחיותה של </w:t>
      </w:r>
      <w:proofErr w:type="spellStart"/>
      <w:r>
        <w:rPr>
          <w:rFonts w:hint="cs"/>
          <w:rtl/>
        </w:rPr>
        <w:t>סולושנס</w:t>
      </w:r>
      <w:proofErr w:type="spellEnd"/>
      <w:r>
        <w:rPr>
          <w:rFonts w:hint="cs"/>
          <w:rtl/>
        </w:rPr>
        <w:t xml:space="preserve"> עובר למועד מימוש האופציה.</w:t>
      </w:r>
    </w:p>
    <w:p w14:paraId="7824CB4E" w14:textId="77777777" w:rsidR="005C3DB9" w:rsidRDefault="005C3DB9" w:rsidP="00A90B22">
      <w:pPr>
        <w:pStyle w:val="Ruller4"/>
        <w:spacing w:line="240" w:lineRule="auto"/>
        <w:rPr>
          <w:rtl/>
        </w:rPr>
      </w:pPr>
    </w:p>
    <w:p w14:paraId="369877EE" w14:textId="77777777" w:rsidR="005C3DB9" w:rsidRDefault="005C3DB9" w:rsidP="005C3DB9">
      <w:pPr>
        <w:pStyle w:val="Ruller4"/>
        <w:rPr>
          <w:rFonts w:ascii="Century" w:hAnsi="Century"/>
          <w:rtl/>
        </w:rPr>
      </w:pPr>
      <w:r>
        <w:rPr>
          <w:rFonts w:hint="cs"/>
          <w:rtl/>
        </w:rPr>
        <w:t>3.</w:t>
      </w:r>
      <w:r>
        <w:rPr>
          <w:rFonts w:hint="cs"/>
          <w:rtl/>
        </w:rPr>
        <w:tab/>
        <w:t xml:space="preserve">לאחר שהעסקה יצאה אל הפועל, כיהן ארבל כמנכ"ל </w:t>
      </w:r>
      <w:proofErr w:type="spellStart"/>
      <w:r>
        <w:rPr>
          <w:rFonts w:hint="cs"/>
          <w:rtl/>
        </w:rPr>
        <w:t>סולושנס</w:t>
      </w:r>
      <w:proofErr w:type="spellEnd"/>
      <w:r>
        <w:rPr>
          <w:rFonts w:hint="cs"/>
          <w:rtl/>
        </w:rPr>
        <w:t>, ו</w:t>
      </w:r>
      <w:r w:rsidR="0061475C">
        <w:rPr>
          <w:rFonts w:hint="cs"/>
          <w:rtl/>
        </w:rPr>
        <w:t xml:space="preserve">כמו </w:t>
      </w:r>
      <w:r>
        <w:rPr>
          <w:rFonts w:hint="cs"/>
          <w:rtl/>
        </w:rPr>
        <w:t xml:space="preserve">כן החזיק ב-70% ממניותיה באמצעות </w:t>
      </w:r>
      <w:proofErr w:type="spellStart"/>
      <w:r>
        <w:rPr>
          <w:rFonts w:hint="cs"/>
          <w:rtl/>
        </w:rPr>
        <w:t>ונצ'ר</w:t>
      </w:r>
      <w:proofErr w:type="spellEnd"/>
      <w:r>
        <w:rPr>
          <w:rFonts w:hint="cs"/>
          <w:rtl/>
        </w:rPr>
        <w:t>. לאחר זמן-מה הסתיימה תקופת כהונתו של ארבל כמנכ"ל, ואמן מימשה את זכותה לרכוש בכפייה את כל מניותיו.</w:t>
      </w:r>
      <w:r>
        <w:rPr>
          <w:rFonts w:ascii="Century" w:hAnsi="Century" w:hint="cs"/>
          <w:rtl/>
        </w:rPr>
        <w:t xml:space="preserve"> </w:t>
      </w:r>
    </w:p>
    <w:p w14:paraId="123DC466" w14:textId="77777777" w:rsidR="005C3DB9" w:rsidRDefault="005C3DB9" w:rsidP="00A90B22">
      <w:pPr>
        <w:pStyle w:val="Ruller4"/>
        <w:spacing w:line="240" w:lineRule="auto"/>
        <w:rPr>
          <w:rFonts w:ascii="Century" w:hAnsi="Century"/>
          <w:rtl/>
        </w:rPr>
      </w:pPr>
    </w:p>
    <w:p w14:paraId="66A435D9" w14:textId="77777777" w:rsidR="005C3DB9" w:rsidRDefault="005C3DB9" w:rsidP="00B8070D">
      <w:pPr>
        <w:pStyle w:val="Ruller4"/>
        <w:rPr>
          <w:rFonts w:ascii="Century" w:hAnsi="Century"/>
          <w:rtl/>
        </w:rPr>
      </w:pPr>
      <w:r>
        <w:rPr>
          <w:rFonts w:ascii="Century" w:hAnsi="Century" w:hint="cs"/>
          <w:rtl/>
        </w:rPr>
        <w:t>4.</w:t>
      </w:r>
      <w:r>
        <w:rPr>
          <w:rFonts w:ascii="Century" w:hAnsi="Century" w:hint="cs"/>
          <w:rtl/>
        </w:rPr>
        <w:tab/>
        <w:t xml:space="preserve">לאחר תקופה, הגישו אמן </w:t>
      </w:r>
      <w:proofErr w:type="spellStart"/>
      <w:r>
        <w:rPr>
          <w:rFonts w:ascii="Century" w:hAnsi="Century" w:hint="cs"/>
          <w:rtl/>
        </w:rPr>
        <w:t>וסולושנס</w:t>
      </w:r>
      <w:proofErr w:type="spellEnd"/>
      <w:r>
        <w:rPr>
          <w:rFonts w:ascii="Century" w:hAnsi="Century" w:hint="cs"/>
          <w:rtl/>
        </w:rPr>
        <w:t xml:space="preserve"> תביעה למתן סעדים כספיים נגד ארבל, בטענה כי לאחר תום תקופת כהונתו, החל ארבל להתחרות בהן ולהפר את </w:t>
      </w:r>
      <w:proofErr w:type="spellStart"/>
      <w:r>
        <w:rPr>
          <w:rFonts w:ascii="Century" w:hAnsi="Century" w:hint="cs"/>
          <w:rtl/>
        </w:rPr>
        <w:t>תני</w:t>
      </w:r>
      <w:r w:rsidR="0061475C">
        <w:rPr>
          <w:rFonts w:ascii="Century" w:hAnsi="Century" w:hint="cs"/>
          <w:rtl/>
        </w:rPr>
        <w:t>ית</w:t>
      </w:r>
      <w:proofErr w:type="spellEnd"/>
      <w:r w:rsidR="0061475C">
        <w:rPr>
          <w:rFonts w:ascii="Century" w:hAnsi="Century" w:hint="cs"/>
          <w:rtl/>
        </w:rPr>
        <w:t xml:space="preserve"> אי-התחרות. זאת, בין היתר, על-</w:t>
      </w:r>
      <w:r>
        <w:rPr>
          <w:rFonts w:ascii="Century" w:hAnsi="Century" w:hint="cs"/>
          <w:rtl/>
        </w:rPr>
        <w:t xml:space="preserve">ידי שיווק מוצר </w:t>
      </w:r>
      <w:r>
        <w:rPr>
          <w:rFonts w:hint="cs"/>
          <w:rtl/>
        </w:rPr>
        <w:t>ה-</w:t>
      </w:r>
      <w:proofErr w:type="spellStart"/>
      <w:r w:rsidRPr="002C6B7D">
        <w:rPr>
          <w:rFonts w:ascii="Century" w:hAnsi="Century" w:hint="cs"/>
        </w:rPr>
        <w:t>V</w:t>
      </w:r>
      <w:r w:rsidRPr="002C6B7D">
        <w:rPr>
          <w:rFonts w:ascii="Century" w:hAnsi="Century"/>
        </w:rPr>
        <w:t>tool</w:t>
      </w:r>
      <w:proofErr w:type="spellEnd"/>
      <w:r>
        <w:rPr>
          <w:rFonts w:ascii="Century" w:hAnsi="Century" w:hint="cs"/>
          <w:rtl/>
        </w:rPr>
        <w:t xml:space="preserve"> באמצעות חברה נוספת שהקים (להלן: </w:t>
      </w:r>
      <w:r w:rsidRPr="006636DB">
        <w:rPr>
          <w:rFonts w:ascii="Century" w:hAnsi="Century" w:cs="Miriam" w:hint="cs"/>
          <w:b/>
          <w:spacing w:val="0"/>
          <w:szCs w:val="24"/>
          <w:rtl/>
        </w:rPr>
        <w:t xml:space="preserve">חברת </w:t>
      </w:r>
      <w:proofErr w:type="spellStart"/>
      <w:r w:rsidRPr="006636DB">
        <w:rPr>
          <w:rFonts w:ascii="Century" w:hAnsi="Century" w:cs="Miriam" w:hint="cs"/>
          <w:b/>
          <w:spacing w:val="0"/>
          <w:szCs w:val="24"/>
          <w:rtl/>
        </w:rPr>
        <w:t>ויטול</w:t>
      </w:r>
      <w:proofErr w:type="spellEnd"/>
      <w:r>
        <w:rPr>
          <w:rFonts w:ascii="Century" w:hAnsi="Century" w:hint="cs"/>
          <w:rtl/>
        </w:rPr>
        <w:t xml:space="preserve">), תוך העסקת עובדים לשעבר של </w:t>
      </w:r>
      <w:proofErr w:type="spellStart"/>
      <w:r>
        <w:rPr>
          <w:rFonts w:ascii="Century" w:hAnsi="Century" w:hint="cs"/>
          <w:rtl/>
        </w:rPr>
        <w:t>סולושנס</w:t>
      </w:r>
      <w:proofErr w:type="spellEnd"/>
      <w:r>
        <w:rPr>
          <w:rFonts w:ascii="Century" w:hAnsi="Century" w:hint="cs"/>
          <w:rtl/>
        </w:rPr>
        <w:t xml:space="preserve">. נגד תביעה זו הגישו ארבל </w:t>
      </w:r>
      <w:proofErr w:type="spellStart"/>
      <w:r>
        <w:rPr>
          <w:rFonts w:ascii="Century" w:hAnsi="Century" w:hint="cs"/>
          <w:rtl/>
        </w:rPr>
        <w:t>וונצ'ר</w:t>
      </w:r>
      <w:proofErr w:type="spellEnd"/>
      <w:r>
        <w:rPr>
          <w:rFonts w:ascii="Century" w:hAnsi="Century" w:hint="cs"/>
          <w:rtl/>
        </w:rPr>
        <w:t xml:space="preserve"> תביעה שכנגד, ובה טענו כי לא שולמה להם מלוא התמורה במסגרת העסקה. בכלל זה נטען, כי באמצעות מניפולציות חשבונאיות מכוונות הפחיתו אמן </w:t>
      </w:r>
      <w:proofErr w:type="spellStart"/>
      <w:r>
        <w:rPr>
          <w:rFonts w:ascii="Century" w:hAnsi="Century" w:hint="cs"/>
          <w:rtl/>
        </w:rPr>
        <w:t>וסולושנס</w:t>
      </w:r>
      <w:proofErr w:type="spellEnd"/>
      <w:r>
        <w:rPr>
          <w:rFonts w:ascii="Century" w:hAnsi="Century" w:hint="cs"/>
          <w:rtl/>
        </w:rPr>
        <w:t xml:space="preserve"> </w:t>
      </w:r>
      <w:r w:rsidR="0061475C">
        <w:rPr>
          <w:rFonts w:ascii="Century" w:hAnsi="Century" w:hint="cs"/>
          <w:rtl/>
        </w:rPr>
        <w:t>את שווי המניות כפי שנקבע על-</w:t>
      </w:r>
      <w:r>
        <w:rPr>
          <w:rFonts w:ascii="Century" w:hAnsi="Century" w:hint="cs"/>
          <w:rtl/>
        </w:rPr>
        <w:t>פי הנוסחה המוס</w:t>
      </w:r>
      <w:r w:rsidR="0061475C">
        <w:rPr>
          <w:rFonts w:ascii="Century" w:hAnsi="Century" w:hint="cs"/>
          <w:rtl/>
        </w:rPr>
        <w:t xml:space="preserve">כמת, כך שהתמורה ששולמה עבורן </w:t>
      </w:r>
      <w:proofErr w:type="spellStart"/>
      <w:r w:rsidR="0061475C">
        <w:rPr>
          <w:rFonts w:ascii="Century" w:hAnsi="Century" w:hint="cs"/>
          <w:rtl/>
        </w:rPr>
        <w:t>הי</w:t>
      </w:r>
      <w:r>
        <w:rPr>
          <w:rFonts w:ascii="Century" w:hAnsi="Century" w:hint="cs"/>
          <w:rtl/>
        </w:rPr>
        <w:t>תה</w:t>
      </w:r>
      <w:proofErr w:type="spellEnd"/>
      <w:r>
        <w:rPr>
          <w:rFonts w:ascii="Century" w:hAnsi="Century" w:hint="cs"/>
          <w:rtl/>
        </w:rPr>
        <w:t xml:space="preserve"> </w:t>
      </w:r>
      <w:r w:rsidR="0061475C">
        <w:rPr>
          <w:rFonts w:ascii="Century" w:hAnsi="Century" w:hint="cs"/>
          <w:rtl/>
        </w:rPr>
        <w:t>בשיעור נמוך</w:t>
      </w:r>
      <w:r>
        <w:rPr>
          <w:rFonts w:ascii="Century" w:hAnsi="Century" w:hint="cs"/>
          <w:rtl/>
        </w:rPr>
        <w:t xml:space="preserve"> מדי. לצד סעדים כספיים, תבעו ארבל </w:t>
      </w:r>
      <w:proofErr w:type="spellStart"/>
      <w:r>
        <w:rPr>
          <w:rFonts w:ascii="Century" w:hAnsi="Century" w:hint="cs"/>
          <w:rtl/>
        </w:rPr>
        <w:t>וונצ'ר</w:t>
      </w:r>
      <w:proofErr w:type="spellEnd"/>
      <w:r>
        <w:rPr>
          <w:rFonts w:ascii="Century" w:hAnsi="Century" w:hint="cs"/>
          <w:rtl/>
        </w:rPr>
        <w:t xml:space="preserve"> בתביעתם שכנגד גם סעד של מתן חשבונות, שבמסגרתו התבקש </w:t>
      </w:r>
      <w:r w:rsidR="0061475C">
        <w:rPr>
          <w:rFonts w:ascii="Century" w:hAnsi="Century" w:hint="cs"/>
          <w:rtl/>
        </w:rPr>
        <w:t xml:space="preserve">בית המשפט </w:t>
      </w:r>
      <w:r>
        <w:rPr>
          <w:rFonts w:ascii="Century" w:hAnsi="Century" w:hint="cs"/>
          <w:rtl/>
        </w:rPr>
        <w:t xml:space="preserve">להורות כי יועברו לידיהם נתונים ומסמכים הנוגעים לפעילותה של </w:t>
      </w:r>
      <w:proofErr w:type="spellStart"/>
      <w:r>
        <w:rPr>
          <w:rFonts w:ascii="Century" w:hAnsi="Century" w:hint="cs"/>
          <w:rtl/>
        </w:rPr>
        <w:t>סולושנס</w:t>
      </w:r>
      <w:proofErr w:type="spellEnd"/>
      <w:r>
        <w:rPr>
          <w:rFonts w:ascii="Century" w:hAnsi="Century" w:hint="cs"/>
          <w:rtl/>
        </w:rPr>
        <w:t>.</w:t>
      </w:r>
    </w:p>
    <w:p w14:paraId="44B2B9E5" w14:textId="77777777" w:rsidR="005C3DB9" w:rsidRDefault="005C3DB9" w:rsidP="00A90B22">
      <w:pPr>
        <w:pStyle w:val="Ruller4"/>
        <w:spacing w:line="240" w:lineRule="auto"/>
        <w:rPr>
          <w:rFonts w:ascii="Century" w:hAnsi="Century"/>
          <w:rtl/>
        </w:rPr>
      </w:pPr>
    </w:p>
    <w:p w14:paraId="17926DE5" w14:textId="77777777" w:rsidR="005C3DB9" w:rsidRDefault="005C3DB9" w:rsidP="005C3DB9">
      <w:pPr>
        <w:pStyle w:val="Ruller4"/>
        <w:rPr>
          <w:rFonts w:ascii="Century" w:hAnsi="Century"/>
          <w:rtl/>
        </w:rPr>
      </w:pPr>
      <w:r>
        <w:rPr>
          <w:rFonts w:ascii="Century" w:hAnsi="Century" w:hint="cs"/>
          <w:rtl/>
        </w:rPr>
        <w:t>5.</w:t>
      </w:r>
      <w:r>
        <w:rPr>
          <w:rFonts w:ascii="Century" w:hAnsi="Century" w:hint="cs"/>
          <w:rtl/>
        </w:rPr>
        <w:tab/>
        <w:t xml:space="preserve">עם התקדמות ההליכים, הגישו הצדדים בקשות הדדיות למתן צו לגילוי ועיון במסמכים. אמן </w:t>
      </w:r>
      <w:proofErr w:type="spellStart"/>
      <w:r>
        <w:rPr>
          <w:rFonts w:ascii="Century" w:hAnsi="Century" w:hint="cs"/>
          <w:rtl/>
        </w:rPr>
        <w:t>וסולושנס</w:t>
      </w:r>
      <w:proofErr w:type="spellEnd"/>
      <w:r>
        <w:rPr>
          <w:rFonts w:ascii="Century" w:hAnsi="Century" w:hint="cs"/>
          <w:rtl/>
        </w:rPr>
        <w:t xml:space="preserve"> ביקשו שיועברו לידיהן, בין השאר, כל פרטי הלקוחות שארבל או מי מטעמו סיפקו להם שירותי </w:t>
      </w:r>
      <w:proofErr w:type="spellStart"/>
      <w:r>
        <w:rPr>
          <w:rFonts w:ascii="Century" w:hAnsi="Century" w:hint="cs"/>
          <w:rtl/>
        </w:rPr>
        <w:t>וריפיקציה</w:t>
      </w:r>
      <w:proofErr w:type="spellEnd"/>
      <w:r>
        <w:rPr>
          <w:rFonts w:ascii="Century" w:hAnsi="Century" w:hint="cs"/>
          <w:rtl/>
        </w:rPr>
        <w:t xml:space="preserve">, החל מתקופת כהונתו של ארבל כמנכ"ל </w:t>
      </w:r>
      <w:proofErr w:type="spellStart"/>
      <w:r>
        <w:rPr>
          <w:rFonts w:ascii="Century" w:hAnsi="Century" w:hint="cs"/>
          <w:rtl/>
        </w:rPr>
        <w:t>סולושנס</w:t>
      </w:r>
      <w:proofErr w:type="spellEnd"/>
      <w:r>
        <w:rPr>
          <w:rFonts w:ascii="Century" w:hAnsi="Century" w:hint="cs"/>
          <w:rtl/>
        </w:rPr>
        <w:t xml:space="preserve"> ועד ליום 1.11.2018; כל התכתובות הנוגעות לאינטראקציות עם לקוחות אלה, ובפרט ביחס לשלושה לקוחות ספציפי</w:t>
      </w:r>
      <w:r w:rsidR="0061475C">
        <w:rPr>
          <w:rFonts w:ascii="Century" w:hAnsi="Century" w:hint="cs"/>
          <w:rtl/>
        </w:rPr>
        <w:t>ים; וכן פרטי העובדים שהועסקו על-</w:t>
      </w:r>
      <w:r>
        <w:rPr>
          <w:rFonts w:ascii="Century" w:hAnsi="Century" w:hint="cs"/>
          <w:rtl/>
        </w:rPr>
        <w:t xml:space="preserve">ידי ארבל או מי מטעמו בנוגע לאינטראקציות עם לקוחות אלה. מנגד, ארבל </w:t>
      </w:r>
      <w:proofErr w:type="spellStart"/>
      <w:r>
        <w:rPr>
          <w:rFonts w:ascii="Century" w:hAnsi="Century" w:hint="cs"/>
          <w:rtl/>
        </w:rPr>
        <w:t>וונצ'ר</w:t>
      </w:r>
      <w:proofErr w:type="spellEnd"/>
      <w:r>
        <w:rPr>
          <w:rFonts w:ascii="Century" w:hAnsi="Century" w:hint="cs"/>
          <w:rtl/>
        </w:rPr>
        <w:t xml:space="preserve"> ביקשו שיועברו לידיהם מסמכים שונים הנוגעים לפעילותה של </w:t>
      </w:r>
      <w:proofErr w:type="spellStart"/>
      <w:r>
        <w:rPr>
          <w:rFonts w:ascii="Century" w:hAnsi="Century" w:hint="cs"/>
          <w:rtl/>
        </w:rPr>
        <w:t>סולושנס</w:t>
      </w:r>
      <w:proofErr w:type="spellEnd"/>
      <w:r>
        <w:rPr>
          <w:rFonts w:ascii="Century" w:hAnsi="Century" w:hint="cs"/>
          <w:rtl/>
        </w:rPr>
        <w:t>, לרבות מסמכים חשבונאיים.</w:t>
      </w:r>
    </w:p>
    <w:p w14:paraId="678EACA7" w14:textId="77777777" w:rsidR="005C3DB9" w:rsidRDefault="005C3DB9" w:rsidP="00A90B22">
      <w:pPr>
        <w:pStyle w:val="Ruller4"/>
        <w:spacing w:line="240" w:lineRule="auto"/>
        <w:rPr>
          <w:rFonts w:ascii="Century" w:hAnsi="Century"/>
          <w:rtl/>
        </w:rPr>
      </w:pPr>
    </w:p>
    <w:p w14:paraId="678260ED" w14:textId="77777777" w:rsidR="005C3DB9" w:rsidRDefault="005C3DB9" w:rsidP="0061475C">
      <w:pPr>
        <w:pStyle w:val="Ruller4"/>
        <w:rPr>
          <w:rFonts w:ascii="Century" w:hAnsi="Century"/>
          <w:rtl/>
        </w:rPr>
      </w:pPr>
      <w:r>
        <w:rPr>
          <w:rFonts w:ascii="Century" w:hAnsi="Century" w:hint="cs"/>
          <w:rtl/>
        </w:rPr>
        <w:t>6.</w:t>
      </w:r>
      <w:r>
        <w:rPr>
          <w:rFonts w:ascii="Century" w:hAnsi="Century" w:hint="cs"/>
          <w:rtl/>
        </w:rPr>
        <w:tab/>
        <w:t xml:space="preserve">ביום 23.2.2020 </w:t>
      </w:r>
      <w:r w:rsidR="0061475C">
        <w:rPr>
          <w:rFonts w:ascii="Century" w:hAnsi="Century" w:hint="cs"/>
          <w:rtl/>
        </w:rPr>
        <w:t>התקיים</w:t>
      </w:r>
      <w:r>
        <w:rPr>
          <w:rFonts w:ascii="Century" w:hAnsi="Century" w:hint="cs"/>
          <w:rtl/>
        </w:rPr>
        <w:t xml:space="preserve"> דיון, ובסופו הכריע בית המשפט המחוזי בבקשות הצדדים. </w:t>
      </w:r>
      <w:r w:rsidRPr="007108E9">
        <w:rPr>
          <w:rStyle w:val="Char"/>
          <w:rFonts w:ascii="Century" w:hAnsi="Century" w:hint="cs"/>
          <w:b/>
          <w:spacing w:val="0"/>
          <w:rtl/>
        </w:rPr>
        <w:t xml:space="preserve">בקשתן של אמן </w:t>
      </w:r>
      <w:proofErr w:type="spellStart"/>
      <w:r w:rsidRPr="007108E9">
        <w:rPr>
          <w:rStyle w:val="Char"/>
          <w:rFonts w:ascii="Century" w:hAnsi="Century" w:hint="cs"/>
          <w:b/>
          <w:spacing w:val="0"/>
          <w:rtl/>
        </w:rPr>
        <w:t>וסולושנס</w:t>
      </w:r>
      <w:proofErr w:type="spellEnd"/>
      <w:r w:rsidRPr="007108E9">
        <w:rPr>
          <w:rFonts w:ascii="Century" w:hAnsi="Century" w:hint="cs"/>
          <w:rtl/>
        </w:rPr>
        <w:t xml:space="preserve"> </w:t>
      </w:r>
      <w:r>
        <w:rPr>
          <w:rFonts w:ascii="Century" w:hAnsi="Century"/>
          <w:rtl/>
        </w:rPr>
        <w:t>–</w:t>
      </w:r>
      <w:r>
        <w:rPr>
          <w:rFonts w:ascii="Century" w:hAnsi="Century" w:hint="cs"/>
          <w:rtl/>
        </w:rPr>
        <w:t xml:space="preserve"> התקבלה באופן חלקי. נקבע כי על ארבל להצהיר על אמירתו כי לא נתן שירותים ללקוחות באופן אישי; וכן כי אם קיימות התכתבויות בין ארבל באופן אישי לשלושת הלקוחות הספציפיים שצוינו בבקשת הגילוי </w:t>
      </w:r>
      <w:r>
        <w:rPr>
          <w:rFonts w:ascii="Century" w:hAnsi="Century"/>
          <w:rtl/>
        </w:rPr>
        <w:t>–</w:t>
      </w:r>
      <w:r>
        <w:rPr>
          <w:rFonts w:ascii="Century" w:hAnsi="Century" w:hint="cs"/>
          <w:rtl/>
        </w:rPr>
        <w:t xml:space="preserve"> עליו לגלותן. לעומת זאת, נקבע כי אין מקום להורות על גילוי מסמכים הנוגעים לאינטראקציות של לקוחות כאמור עם צדדים שלישיים שאינם צד להליך, לרבות חברת </w:t>
      </w:r>
      <w:proofErr w:type="spellStart"/>
      <w:r>
        <w:rPr>
          <w:rFonts w:ascii="Century" w:hAnsi="Century" w:hint="cs"/>
          <w:rtl/>
        </w:rPr>
        <w:t>ויטול</w:t>
      </w:r>
      <w:proofErr w:type="spellEnd"/>
      <w:r>
        <w:rPr>
          <w:rFonts w:ascii="Century" w:hAnsi="Century" w:hint="cs"/>
          <w:rtl/>
        </w:rPr>
        <w:t xml:space="preserve">; </w:t>
      </w:r>
      <w:r w:rsidRPr="007108E9">
        <w:rPr>
          <w:rStyle w:val="Char"/>
          <w:rFonts w:ascii="Century" w:hAnsi="Century" w:hint="cs"/>
          <w:b/>
          <w:spacing w:val="0"/>
          <w:rtl/>
        </w:rPr>
        <w:t xml:space="preserve">בקשתם של </w:t>
      </w:r>
      <w:r w:rsidRPr="007108E9">
        <w:rPr>
          <w:rStyle w:val="Char"/>
          <w:rFonts w:ascii="Century" w:hAnsi="Century" w:hint="cs"/>
          <w:b/>
          <w:spacing w:val="0"/>
          <w:rtl/>
        </w:rPr>
        <w:lastRenderedPageBreak/>
        <w:t xml:space="preserve">ארבל </w:t>
      </w:r>
      <w:proofErr w:type="spellStart"/>
      <w:r w:rsidRPr="007108E9">
        <w:rPr>
          <w:rStyle w:val="Char"/>
          <w:rFonts w:ascii="Century" w:hAnsi="Century" w:hint="cs"/>
          <w:b/>
          <w:spacing w:val="0"/>
          <w:rtl/>
        </w:rPr>
        <w:t>וונצ'ר</w:t>
      </w:r>
      <w:proofErr w:type="spellEnd"/>
      <w:r w:rsidRPr="007108E9">
        <w:rPr>
          <w:rFonts w:ascii="Century" w:hAnsi="Century" w:hint="cs"/>
          <w:rtl/>
        </w:rPr>
        <w:t xml:space="preserve"> </w:t>
      </w:r>
      <w:r>
        <w:rPr>
          <w:rFonts w:ascii="Century" w:hAnsi="Century"/>
          <w:rtl/>
        </w:rPr>
        <w:t>–</w:t>
      </w:r>
      <w:r>
        <w:rPr>
          <w:rFonts w:ascii="Century" w:hAnsi="Century" w:hint="cs"/>
          <w:rtl/>
        </w:rPr>
        <w:t xml:space="preserve"> התקבלה במלואה, לאחר שצומצמה במהלך הדיון. בית המשפט הורה כי על אמן </w:t>
      </w:r>
      <w:proofErr w:type="spellStart"/>
      <w:r>
        <w:rPr>
          <w:rFonts w:ascii="Century" w:hAnsi="Century" w:hint="cs"/>
          <w:rtl/>
        </w:rPr>
        <w:t>וסולושנס</w:t>
      </w:r>
      <w:proofErr w:type="spellEnd"/>
      <w:r>
        <w:rPr>
          <w:rFonts w:ascii="Century" w:hAnsi="Century" w:hint="cs"/>
          <w:rtl/>
        </w:rPr>
        <w:t xml:space="preserve"> לגלות ולהעביר לידי ארבל </w:t>
      </w:r>
      <w:proofErr w:type="spellStart"/>
      <w:r>
        <w:rPr>
          <w:rFonts w:ascii="Century" w:hAnsi="Century" w:hint="cs"/>
          <w:rtl/>
        </w:rPr>
        <w:t>וונצ'ר</w:t>
      </w:r>
      <w:proofErr w:type="spellEnd"/>
      <w:r>
        <w:rPr>
          <w:rFonts w:ascii="Century" w:hAnsi="Century" w:hint="cs"/>
          <w:rtl/>
        </w:rPr>
        <w:t xml:space="preserve"> חשבוניות וקבלות של </w:t>
      </w:r>
      <w:proofErr w:type="spellStart"/>
      <w:r>
        <w:rPr>
          <w:rFonts w:ascii="Century" w:hAnsi="Century" w:hint="cs"/>
          <w:rtl/>
        </w:rPr>
        <w:t>סולושנס</w:t>
      </w:r>
      <w:proofErr w:type="spellEnd"/>
      <w:r>
        <w:rPr>
          <w:rFonts w:ascii="Century" w:hAnsi="Century" w:hint="cs"/>
          <w:rtl/>
        </w:rPr>
        <w:t xml:space="preserve"> מהשנים 2016-2013; פירוט של דמי הניהול ששילמה </w:t>
      </w:r>
      <w:proofErr w:type="spellStart"/>
      <w:r>
        <w:rPr>
          <w:rFonts w:ascii="Century" w:hAnsi="Century" w:hint="cs"/>
          <w:rtl/>
        </w:rPr>
        <w:t>סולושנס</w:t>
      </w:r>
      <w:proofErr w:type="spellEnd"/>
      <w:r>
        <w:rPr>
          <w:rFonts w:ascii="Century" w:hAnsi="Century" w:hint="cs"/>
          <w:rtl/>
        </w:rPr>
        <w:t xml:space="preserve"> לאמן; פירוט ההלוואות</w:t>
      </w:r>
      <w:r w:rsidRPr="00967B59">
        <w:rPr>
          <w:rFonts w:ascii="Century" w:hAnsi="Century" w:hint="cs"/>
          <w:rtl/>
        </w:rPr>
        <w:t xml:space="preserve"> </w:t>
      </w:r>
      <w:r>
        <w:rPr>
          <w:rFonts w:ascii="Century" w:hAnsi="Century" w:hint="cs"/>
          <w:rtl/>
        </w:rPr>
        <w:t xml:space="preserve">שהעמידה אמן </w:t>
      </w:r>
      <w:proofErr w:type="spellStart"/>
      <w:r>
        <w:rPr>
          <w:rFonts w:ascii="Century" w:hAnsi="Century" w:hint="cs"/>
          <w:rtl/>
        </w:rPr>
        <w:t>לסולושנס</w:t>
      </w:r>
      <w:proofErr w:type="spellEnd"/>
      <w:r>
        <w:rPr>
          <w:rFonts w:ascii="Century" w:hAnsi="Century" w:hint="cs"/>
          <w:rtl/>
        </w:rPr>
        <w:t xml:space="preserve">, כמו גם שיעורי הריבית עליהן; והעתקי דו"חות מבוקרים של </w:t>
      </w:r>
      <w:proofErr w:type="spellStart"/>
      <w:r>
        <w:rPr>
          <w:rFonts w:ascii="Century" w:hAnsi="Century" w:hint="cs"/>
          <w:rtl/>
        </w:rPr>
        <w:t>סולושנס</w:t>
      </w:r>
      <w:proofErr w:type="spellEnd"/>
      <w:r>
        <w:rPr>
          <w:rFonts w:ascii="Century" w:hAnsi="Century" w:hint="cs"/>
          <w:rtl/>
        </w:rPr>
        <w:t xml:space="preserve"> מהשנים 2015 ו-2016. בית המשפט המחוזי הדגיש כי אילו הסעד של מתן חשבונות היה הסעד היחיד </w:t>
      </w:r>
      <w:r w:rsidR="0061475C">
        <w:rPr>
          <w:rFonts w:ascii="Century" w:hAnsi="Century" w:hint="cs"/>
          <w:rtl/>
        </w:rPr>
        <w:t>שהתבקש</w:t>
      </w:r>
      <w:r>
        <w:rPr>
          <w:rFonts w:ascii="Century" w:hAnsi="Century" w:hint="cs"/>
          <w:rtl/>
        </w:rPr>
        <w:t xml:space="preserve"> בתביעה, הבקשה לגילוי </w:t>
      </w:r>
      <w:proofErr w:type="spellStart"/>
      <w:r>
        <w:rPr>
          <w:rFonts w:ascii="Century" w:hAnsi="Century" w:hint="cs"/>
          <w:rtl/>
        </w:rPr>
        <w:t>היתה</w:t>
      </w:r>
      <w:proofErr w:type="spellEnd"/>
      <w:r>
        <w:rPr>
          <w:rFonts w:ascii="Century" w:hAnsi="Century" w:hint="cs"/>
          <w:rtl/>
        </w:rPr>
        <w:t xml:space="preserve"> נדחית. אולם, נקבע, כי משעה שנתבקשו בתביעה שכנגד גם סעדים כספיים; לאור הרלבנטיות של המסמכים המבוקשים </w:t>
      </w:r>
      <w:proofErr w:type="spellStart"/>
      <w:r>
        <w:rPr>
          <w:rFonts w:ascii="Century" w:hAnsi="Century" w:hint="cs"/>
          <w:rtl/>
        </w:rPr>
        <w:t>לסעדים</w:t>
      </w:r>
      <w:proofErr w:type="spellEnd"/>
      <w:r>
        <w:rPr>
          <w:rFonts w:ascii="Century" w:hAnsi="Century" w:hint="cs"/>
          <w:rtl/>
        </w:rPr>
        <w:t xml:space="preserve"> אלה; ובהינתן שעסקינן במסמכים של </w:t>
      </w:r>
      <w:proofErr w:type="spellStart"/>
      <w:r>
        <w:rPr>
          <w:rFonts w:ascii="Century" w:hAnsi="Century" w:hint="cs"/>
          <w:rtl/>
        </w:rPr>
        <w:t>סולושנס</w:t>
      </w:r>
      <w:proofErr w:type="spellEnd"/>
      <w:r w:rsidR="0061475C">
        <w:rPr>
          <w:rFonts w:ascii="Century" w:hAnsi="Century" w:hint="cs"/>
          <w:rtl/>
        </w:rPr>
        <w:t>,</w:t>
      </w:r>
      <w:r>
        <w:rPr>
          <w:rFonts w:ascii="Century" w:hAnsi="Century" w:hint="cs"/>
          <w:rtl/>
        </w:rPr>
        <w:t xml:space="preserve"> </w:t>
      </w:r>
      <w:r w:rsidR="0061475C">
        <w:rPr>
          <w:rFonts w:ascii="Century" w:hAnsi="Century" w:hint="cs"/>
          <w:rtl/>
        </w:rPr>
        <w:t>ש</w:t>
      </w:r>
      <w:r>
        <w:rPr>
          <w:rFonts w:ascii="Century" w:hAnsi="Century" w:hint="cs"/>
          <w:rtl/>
        </w:rPr>
        <w:t xml:space="preserve">בה כיהן ארבל כמנכ"ל וכן היה בעל מניות עיקרי בה </w:t>
      </w:r>
      <w:r>
        <w:rPr>
          <w:rFonts w:ascii="Century" w:hAnsi="Century"/>
          <w:rtl/>
        </w:rPr>
        <w:t>–</w:t>
      </w:r>
      <w:r>
        <w:rPr>
          <w:rFonts w:ascii="Century" w:hAnsi="Century" w:hint="cs"/>
          <w:rtl/>
        </w:rPr>
        <w:t xml:space="preserve"> יש לקבלה.</w:t>
      </w:r>
    </w:p>
    <w:p w14:paraId="0FCD5145" w14:textId="77777777" w:rsidR="005C3DB9" w:rsidRDefault="005C3DB9" w:rsidP="00A90B22">
      <w:pPr>
        <w:pStyle w:val="Ruller4"/>
        <w:spacing w:line="240" w:lineRule="auto"/>
        <w:rPr>
          <w:rtl/>
        </w:rPr>
      </w:pPr>
    </w:p>
    <w:p w14:paraId="52B3907E" w14:textId="77777777" w:rsidR="005C3DB9" w:rsidRDefault="005C3DB9" w:rsidP="005C3DB9">
      <w:pPr>
        <w:pStyle w:val="Ruller4"/>
      </w:pPr>
      <w:r>
        <w:rPr>
          <w:sz w:val="28"/>
          <w:rtl/>
        </w:rPr>
        <w:tab/>
        <w:t>מכאן הבקשה שלפנַי.</w:t>
      </w:r>
    </w:p>
    <w:p w14:paraId="4DBB161A" w14:textId="77777777" w:rsidR="005C3DB9" w:rsidRDefault="005C3DB9" w:rsidP="00A90B22">
      <w:pPr>
        <w:pStyle w:val="Ruller4"/>
        <w:spacing w:line="240" w:lineRule="auto"/>
        <w:rPr>
          <w:rtl/>
        </w:rPr>
      </w:pPr>
    </w:p>
    <w:p w14:paraId="1D4BC59B" w14:textId="77777777" w:rsidR="005C3DB9" w:rsidRDefault="005C3DB9" w:rsidP="0061475C">
      <w:pPr>
        <w:pStyle w:val="Ruller4"/>
        <w:rPr>
          <w:rtl/>
        </w:rPr>
      </w:pPr>
      <w:r>
        <w:rPr>
          <w:rFonts w:hint="cs"/>
          <w:rtl/>
        </w:rPr>
        <w:t>7.</w:t>
      </w:r>
      <w:r>
        <w:rPr>
          <w:rFonts w:hint="cs"/>
          <w:rtl/>
        </w:rPr>
        <w:tab/>
        <w:t xml:space="preserve">אמן </w:t>
      </w:r>
      <w:proofErr w:type="spellStart"/>
      <w:r>
        <w:rPr>
          <w:rFonts w:hint="cs"/>
          <w:rtl/>
        </w:rPr>
        <w:t>וסולושנס</w:t>
      </w:r>
      <w:proofErr w:type="spellEnd"/>
      <w:r>
        <w:rPr>
          <w:rFonts w:hint="cs"/>
          <w:rtl/>
        </w:rPr>
        <w:t xml:space="preserve"> טוענות כי שגה בית המשפט המחוזי בדחותו את בקשתן ובקבלו את בקשת ארבל </w:t>
      </w:r>
      <w:proofErr w:type="spellStart"/>
      <w:r>
        <w:rPr>
          <w:rFonts w:hint="cs"/>
          <w:rtl/>
        </w:rPr>
        <w:t>וונצ'ר</w:t>
      </w:r>
      <w:proofErr w:type="spellEnd"/>
      <w:r>
        <w:rPr>
          <w:rFonts w:hint="cs"/>
          <w:rtl/>
        </w:rPr>
        <w:t xml:space="preserve">, אף לאחר צמצומה. </w:t>
      </w:r>
      <w:r w:rsidRPr="007108E9">
        <w:rPr>
          <w:rStyle w:val="Char"/>
          <w:rFonts w:ascii="Century" w:hAnsi="Century" w:hint="cs"/>
          <w:b/>
          <w:spacing w:val="0"/>
          <w:rtl/>
        </w:rPr>
        <w:t>באשר לדחיית בקשתן</w:t>
      </w:r>
      <w:r w:rsidRPr="007108E9">
        <w:rPr>
          <w:rFonts w:hint="cs"/>
          <w:rtl/>
        </w:rPr>
        <w:t xml:space="preserve"> </w:t>
      </w:r>
      <w:r>
        <w:rPr>
          <w:rtl/>
        </w:rPr>
        <w:t>–</w:t>
      </w:r>
      <w:r>
        <w:rPr>
          <w:rFonts w:hint="cs"/>
          <w:rtl/>
        </w:rPr>
        <w:t xml:space="preserve"> נטען כי חברת </w:t>
      </w:r>
      <w:proofErr w:type="spellStart"/>
      <w:r>
        <w:rPr>
          <w:rFonts w:hint="cs"/>
          <w:rtl/>
        </w:rPr>
        <w:t>ויטול</w:t>
      </w:r>
      <w:proofErr w:type="spellEnd"/>
      <w:r>
        <w:rPr>
          <w:rFonts w:hint="cs"/>
          <w:rtl/>
        </w:rPr>
        <w:t xml:space="preserve"> נמצאת בבעלותו ובשליטתו של ארבל, והיא משמשת אותו בפועל לפעילותו האישית. בנס</w:t>
      </w:r>
      <w:r w:rsidR="0061475C">
        <w:rPr>
          <w:rFonts w:hint="cs"/>
          <w:rtl/>
        </w:rPr>
        <w:t xml:space="preserve">יבות אלה, אין מדובר בצד שלישי, </w:t>
      </w:r>
      <w:r>
        <w:rPr>
          <w:rFonts w:hint="cs"/>
          <w:rtl/>
        </w:rPr>
        <w:t xml:space="preserve">זר לסכסוך בין בעלי הדין, ועל כן, </w:t>
      </w:r>
      <w:proofErr w:type="spellStart"/>
      <w:r>
        <w:rPr>
          <w:rFonts w:hint="cs"/>
          <w:rtl/>
        </w:rPr>
        <w:t>בכגון</w:t>
      </w:r>
      <w:proofErr w:type="spellEnd"/>
      <w:r>
        <w:rPr>
          <w:rFonts w:hint="cs"/>
          <w:rtl/>
        </w:rPr>
        <w:t xml:space="preserve"> דא </w:t>
      </w:r>
      <w:r w:rsidR="0061475C">
        <w:rPr>
          <w:rFonts w:hint="cs"/>
          <w:rtl/>
        </w:rPr>
        <w:t xml:space="preserve">אפשר </w:t>
      </w:r>
      <w:r>
        <w:rPr>
          <w:rFonts w:hint="cs"/>
          <w:rtl/>
        </w:rPr>
        <w:t xml:space="preserve">ליתן צו גילוי מסמכים נגד </w:t>
      </w:r>
      <w:r w:rsidRPr="007108E9">
        <w:rPr>
          <w:rFonts w:ascii="Century" w:hAnsi="Century" w:hint="cs"/>
          <w:b/>
          <w:spacing w:val="0"/>
          <w:rtl/>
        </w:rPr>
        <w:t>אותו</w:t>
      </w:r>
      <w:r>
        <w:rPr>
          <w:rFonts w:hint="cs"/>
          <w:rtl/>
        </w:rPr>
        <w:t xml:space="preserve"> צד שלישי. זאת בפרט, שעה שארבל לא טען כי המסמכים המבוקשים אינם רלבנטיים להליך, ואף לא הכחיש כי הם מצויים ב</w:t>
      </w:r>
      <w:r w:rsidR="0061475C">
        <w:rPr>
          <w:rFonts w:hint="cs"/>
          <w:rtl/>
        </w:rPr>
        <w:t>רשותו</w:t>
      </w:r>
      <w:r>
        <w:rPr>
          <w:rFonts w:hint="cs"/>
          <w:rtl/>
        </w:rPr>
        <w:t xml:space="preserve">. על כן, נטען כי יש להורות על העברתם לידי אמן </w:t>
      </w:r>
      <w:proofErr w:type="spellStart"/>
      <w:r>
        <w:rPr>
          <w:rFonts w:hint="cs"/>
          <w:rtl/>
        </w:rPr>
        <w:t>וסולושנס</w:t>
      </w:r>
      <w:proofErr w:type="spellEnd"/>
      <w:r>
        <w:rPr>
          <w:rFonts w:hint="cs"/>
          <w:rtl/>
        </w:rPr>
        <w:t xml:space="preserve">; </w:t>
      </w:r>
      <w:r w:rsidRPr="007108E9">
        <w:rPr>
          <w:rStyle w:val="Char"/>
          <w:rFonts w:ascii="Century" w:hAnsi="Century" w:hint="cs"/>
          <w:b/>
          <w:spacing w:val="0"/>
          <w:rtl/>
        </w:rPr>
        <w:t xml:space="preserve">באשר לקבלת בקשת ארבל </w:t>
      </w:r>
      <w:proofErr w:type="spellStart"/>
      <w:r w:rsidRPr="007108E9">
        <w:rPr>
          <w:rStyle w:val="Char"/>
          <w:rFonts w:ascii="Century" w:hAnsi="Century" w:hint="cs"/>
          <w:b/>
          <w:spacing w:val="0"/>
          <w:rtl/>
        </w:rPr>
        <w:t>וונצ'ר</w:t>
      </w:r>
      <w:proofErr w:type="spellEnd"/>
      <w:r w:rsidRPr="007108E9">
        <w:rPr>
          <w:rFonts w:hint="cs"/>
          <w:rtl/>
        </w:rPr>
        <w:t xml:space="preserve"> </w:t>
      </w:r>
      <w:r>
        <w:rPr>
          <w:rtl/>
        </w:rPr>
        <w:t>–</w:t>
      </w:r>
      <w:r>
        <w:rPr>
          <w:rFonts w:hint="cs"/>
          <w:rtl/>
        </w:rPr>
        <w:t xml:space="preserve"> נטען כי  הלכה למעשה, ארבל </w:t>
      </w:r>
      <w:proofErr w:type="spellStart"/>
      <w:r>
        <w:rPr>
          <w:rFonts w:hint="cs"/>
          <w:rtl/>
        </w:rPr>
        <w:t>וונצ'ר</w:t>
      </w:r>
      <w:proofErr w:type="spellEnd"/>
      <w:r>
        <w:rPr>
          <w:rFonts w:hint="cs"/>
          <w:rtl/>
        </w:rPr>
        <w:t xml:space="preserve"> קיבלו בשלב מקדמי בהליך, עוד קודם להשלמת בירור תביעתם, את אחד </w:t>
      </w:r>
      <w:proofErr w:type="spellStart"/>
      <w:r>
        <w:rPr>
          <w:rFonts w:hint="cs"/>
          <w:rtl/>
        </w:rPr>
        <w:t>מהסעדים</w:t>
      </w:r>
      <w:proofErr w:type="spellEnd"/>
      <w:r>
        <w:rPr>
          <w:rFonts w:hint="cs"/>
          <w:rtl/>
        </w:rPr>
        <w:t xml:space="preserve"> העיקריים שנתבקשו על ידם </w:t>
      </w:r>
      <w:r>
        <w:rPr>
          <w:rtl/>
        </w:rPr>
        <w:t>–</w:t>
      </w:r>
      <w:r>
        <w:rPr>
          <w:rFonts w:hint="cs"/>
          <w:rtl/>
        </w:rPr>
        <w:t xml:space="preserve"> מתן החשבונות </w:t>
      </w:r>
      <w:r>
        <w:rPr>
          <w:rtl/>
        </w:rPr>
        <w:t>–</w:t>
      </w:r>
      <w:r>
        <w:rPr>
          <w:rFonts w:hint="cs"/>
          <w:rtl/>
        </w:rPr>
        <w:t xml:space="preserve"> וזאת בניגוד לדין. מעבר לכך, לטענת אמן </w:t>
      </w:r>
      <w:proofErr w:type="spellStart"/>
      <w:r>
        <w:rPr>
          <w:rFonts w:hint="cs"/>
          <w:rtl/>
        </w:rPr>
        <w:t>וסולושנס</w:t>
      </w:r>
      <w:proofErr w:type="spellEnd"/>
      <w:r>
        <w:rPr>
          <w:rFonts w:hint="cs"/>
          <w:rtl/>
        </w:rPr>
        <w:t>, בהסכמה מאוחרת, עובר לעסקה הראשונית, הסכימו הצדדים כי התמו</w:t>
      </w:r>
      <w:r w:rsidR="0061475C">
        <w:rPr>
          <w:rFonts w:hint="cs"/>
          <w:rtl/>
        </w:rPr>
        <w:t>רה למניותיו של ארבל לא תחושב על-</w:t>
      </w:r>
      <w:r>
        <w:rPr>
          <w:rFonts w:hint="cs"/>
          <w:rtl/>
        </w:rPr>
        <w:t xml:space="preserve">פי הנוסחה כפי שהוגדרה, אלא תשולם בתשלום קבוע. משכך, לעמדתן, ארבל </w:t>
      </w:r>
      <w:proofErr w:type="spellStart"/>
      <w:r>
        <w:rPr>
          <w:rFonts w:hint="cs"/>
          <w:rtl/>
        </w:rPr>
        <w:t>וונצ'ר</w:t>
      </w:r>
      <w:proofErr w:type="spellEnd"/>
      <w:r>
        <w:rPr>
          <w:rFonts w:hint="cs"/>
          <w:rtl/>
        </w:rPr>
        <w:t xml:space="preserve"> כלל אינם זכאים לסעד העיקרי של מתן חשבונות. נוצר אפוא לשיטתן עיוות דין, בכך שנצטוו על העברת המסמכים שנתבקשו במסגרת הסעד העיקרי למתן חשבונות, עוד קודם לדיון ו</w:t>
      </w:r>
      <w:r w:rsidR="0061475C">
        <w:rPr>
          <w:rFonts w:hint="cs"/>
          <w:rtl/>
        </w:rPr>
        <w:t>ל</w:t>
      </w:r>
      <w:r>
        <w:rPr>
          <w:rFonts w:hint="cs"/>
          <w:rtl/>
        </w:rPr>
        <w:t>הכרעה בטענתן לקיומה של הסכמה מאוחרת. עוד נטע</w:t>
      </w:r>
      <w:r w:rsidR="0061475C">
        <w:rPr>
          <w:rFonts w:hint="cs"/>
          <w:rtl/>
        </w:rPr>
        <w:t>ן, כי ההוראה על גילוי ועיון אינ</w:t>
      </w:r>
      <w:r>
        <w:rPr>
          <w:rFonts w:hint="cs"/>
          <w:rtl/>
        </w:rPr>
        <w:t xml:space="preserve">ה סבירה </w:t>
      </w:r>
      <w:r w:rsidR="0061475C">
        <w:rPr>
          <w:rFonts w:hint="cs"/>
          <w:rtl/>
        </w:rPr>
        <w:t>ולא</w:t>
      </w:r>
      <w:r>
        <w:rPr>
          <w:rFonts w:hint="cs"/>
          <w:rtl/>
        </w:rPr>
        <w:t xml:space="preserve"> מידתית, שעה שבית המשפט המחוזי הורה על העברת מסמכים סודיים וחסויים ללא כל התחייבות לסודיות מצד ארבל.</w:t>
      </w:r>
    </w:p>
    <w:p w14:paraId="7EE87CD5" w14:textId="77777777" w:rsidR="005C3DB9" w:rsidRDefault="005C3DB9" w:rsidP="00A90B22">
      <w:pPr>
        <w:pStyle w:val="Ruller4"/>
        <w:spacing w:line="240" w:lineRule="auto"/>
        <w:rPr>
          <w:rtl/>
        </w:rPr>
      </w:pPr>
    </w:p>
    <w:p w14:paraId="3809FA0E" w14:textId="77777777" w:rsidR="005C3DB9" w:rsidRDefault="005C3DB9" w:rsidP="0061475C">
      <w:pPr>
        <w:pStyle w:val="Ruller4"/>
        <w:rPr>
          <w:rtl/>
        </w:rPr>
      </w:pPr>
      <w:r>
        <w:rPr>
          <w:rFonts w:hint="cs"/>
          <w:rtl/>
        </w:rPr>
        <w:t>8.</w:t>
      </w:r>
      <w:r>
        <w:rPr>
          <w:rtl/>
        </w:rPr>
        <w:tab/>
      </w:r>
      <w:r>
        <w:rPr>
          <w:rFonts w:hint="cs"/>
          <w:rtl/>
        </w:rPr>
        <w:t xml:space="preserve">ארבל </w:t>
      </w:r>
      <w:proofErr w:type="spellStart"/>
      <w:r>
        <w:rPr>
          <w:rFonts w:hint="cs"/>
          <w:rtl/>
        </w:rPr>
        <w:t>וונצ'ר</w:t>
      </w:r>
      <w:proofErr w:type="spellEnd"/>
      <w:r>
        <w:rPr>
          <w:rFonts w:hint="cs"/>
          <w:rtl/>
        </w:rPr>
        <w:t xml:space="preserve"> סומכים </w:t>
      </w:r>
      <w:r w:rsidR="00B8070D">
        <w:rPr>
          <w:rFonts w:hint="cs"/>
          <w:rtl/>
        </w:rPr>
        <w:t xml:space="preserve">את </w:t>
      </w:r>
      <w:r>
        <w:rPr>
          <w:rFonts w:hint="cs"/>
          <w:rtl/>
        </w:rPr>
        <w:t xml:space="preserve">ידיהם על החלטתו של בית המשפט המחוזי. </w:t>
      </w:r>
      <w:r w:rsidRPr="00223574">
        <w:rPr>
          <w:rFonts w:ascii="Century" w:hAnsi="Century" w:cs="Miriam" w:hint="cs"/>
          <w:b/>
          <w:spacing w:val="0"/>
          <w:szCs w:val="24"/>
          <w:rtl/>
        </w:rPr>
        <w:t>ל</w:t>
      </w:r>
      <w:r w:rsidR="0061475C">
        <w:rPr>
          <w:rFonts w:ascii="Century" w:hAnsi="Century" w:cs="Miriam" w:hint="cs"/>
          <w:b/>
          <w:spacing w:val="0"/>
          <w:szCs w:val="24"/>
          <w:rtl/>
        </w:rPr>
        <w:t>גבי</w:t>
      </w:r>
      <w:r w:rsidRPr="00223574">
        <w:rPr>
          <w:rFonts w:ascii="Century" w:hAnsi="Century" w:cs="Miriam" w:hint="cs"/>
          <w:b/>
          <w:spacing w:val="0"/>
          <w:szCs w:val="24"/>
          <w:rtl/>
        </w:rPr>
        <w:t xml:space="preserve"> בקשת אמן </w:t>
      </w:r>
      <w:proofErr w:type="spellStart"/>
      <w:r w:rsidRPr="00223574">
        <w:rPr>
          <w:rFonts w:ascii="Century" w:hAnsi="Century" w:cs="Miriam" w:hint="cs"/>
          <w:b/>
          <w:spacing w:val="0"/>
          <w:szCs w:val="24"/>
          <w:rtl/>
        </w:rPr>
        <w:t>וסולושנס</w:t>
      </w:r>
      <w:proofErr w:type="spellEnd"/>
      <w:r>
        <w:rPr>
          <w:rFonts w:hint="cs"/>
          <w:rtl/>
        </w:rPr>
        <w:t xml:space="preserve"> </w:t>
      </w:r>
      <w:r>
        <w:rPr>
          <w:rtl/>
        </w:rPr>
        <w:t>–</w:t>
      </w:r>
      <w:r>
        <w:rPr>
          <w:rFonts w:hint="cs"/>
          <w:rtl/>
        </w:rPr>
        <w:t xml:space="preserve"> נטען כי משבחרו אמן </w:t>
      </w:r>
      <w:proofErr w:type="spellStart"/>
      <w:r>
        <w:rPr>
          <w:rFonts w:hint="cs"/>
          <w:rtl/>
        </w:rPr>
        <w:t>וסולושנס</w:t>
      </w:r>
      <w:proofErr w:type="spellEnd"/>
      <w:r>
        <w:rPr>
          <w:rFonts w:hint="cs"/>
          <w:rtl/>
        </w:rPr>
        <w:t xml:space="preserve"> שלא לתבוע את חברת </w:t>
      </w:r>
      <w:proofErr w:type="spellStart"/>
      <w:r>
        <w:rPr>
          <w:rFonts w:hint="cs"/>
          <w:rtl/>
        </w:rPr>
        <w:t>ויטול</w:t>
      </w:r>
      <w:proofErr w:type="spellEnd"/>
      <w:r>
        <w:rPr>
          <w:rFonts w:hint="cs"/>
          <w:rtl/>
        </w:rPr>
        <w:t xml:space="preserve">, ומאחר </w:t>
      </w:r>
      <w:r w:rsidR="0061475C">
        <w:rPr>
          <w:rFonts w:hint="cs"/>
          <w:rtl/>
        </w:rPr>
        <w:t>שזו מוחזקת ברובה על-ידי בעלי מניות אמריקאים ולא על-</w:t>
      </w:r>
      <w:r>
        <w:rPr>
          <w:rFonts w:hint="cs"/>
          <w:rtl/>
        </w:rPr>
        <w:t xml:space="preserve">ידי ארבל </w:t>
      </w:r>
      <w:r>
        <w:rPr>
          <w:rtl/>
        </w:rPr>
        <w:t>–</w:t>
      </w:r>
      <w:r>
        <w:rPr>
          <w:rFonts w:hint="cs"/>
          <w:rtl/>
        </w:rPr>
        <w:t xml:space="preserve"> הרי שאין יריבות בינה לבין אמן </w:t>
      </w:r>
      <w:proofErr w:type="spellStart"/>
      <w:r>
        <w:rPr>
          <w:rFonts w:hint="cs"/>
          <w:rtl/>
        </w:rPr>
        <w:t>וסולושנס</w:t>
      </w:r>
      <w:proofErr w:type="spellEnd"/>
      <w:r>
        <w:rPr>
          <w:rFonts w:hint="cs"/>
          <w:rtl/>
        </w:rPr>
        <w:t xml:space="preserve">, </w:t>
      </w:r>
      <w:proofErr w:type="spellStart"/>
      <w:r>
        <w:rPr>
          <w:rFonts w:hint="cs"/>
          <w:rtl/>
        </w:rPr>
        <w:t>וה</w:t>
      </w:r>
      <w:r w:rsidR="0061475C">
        <w:rPr>
          <w:rFonts w:hint="cs"/>
          <w:rtl/>
        </w:rPr>
        <w:t>ריהי</w:t>
      </w:r>
      <w:proofErr w:type="spellEnd"/>
      <w:r w:rsidR="0061475C">
        <w:rPr>
          <w:rFonts w:hint="cs"/>
          <w:rtl/>
        </w:rPr>
        <w:t xml:space="preserve"> צד שלישי </w:t>
      </w:r>
      <w:r>
        <w:rPr>
          <w:rFonts w:hint="cs"/>
          <w:rtl/>
        </w:rPr>
        <w:t>זר להליך. בנוסף נטען</w:t>
      </w:r>
      <w:r w:rsidR="0061475C">
        <w:rPr>
          <w:rFonts w:hint="cs"/>
          <w:rtl/>
        </w:rPr>
        <w:t>,</w:t>
      </w:r>
      <w:r>
        <w:rPr>
          <w:rFonts w:hint="cs"/>
          <w:rtl/>
        </w:rPr>
        <w:t xml:space="preserve"> כי בקשת הגילוי של אמן </w:t>
      </w:r>
      <w:proofErr w:type="spellStart"/>
      <w:r>
        <w:rPr>
          <w:rFonts w:hint="cs"/>
          <w:rtl/>
        </w:rPr>
        <w:t>וסולושנס</w:t>
      </w:r>
      <w:proofErr w:type="spellEnd"/>
      <w:r>
        <w:rPr>
          <w:rFonts w:hint="cs"/>
          <w:rtl/>
        </w:rPr>
        <w:t xml:space="preserve"> אינה ממוקדת, ולכן איננה בקשה לגילוי ועיון במסמכים ספציפיים, אלא </w:t>
      </w:r>
      <w:r>
        <w:rPr>
          <w:rFonts w:hint="cs"/>
          <w:rtl/>
        </w:rPr>
        <w:lastRenderedPageBreak/>
        <w:t>בקשה לגילוי כללי. מכאן, שלפי סעיף 10(1) ל</w:t>
      </w:r>
      <w:r w:rsidRPr="00FD3FB4">
        <w:rPr>
          <w:rtl/>
        </w:rPr>
        <w:t xml:space="preserve">צו בתי המשפט (סוגי החלטות שלא תינתן בהן רשות ערעור), </w:t>
      </w:r>
      <w:r>
        <w:rPr>
          <w:rFonts w:hint="cs"/>
          <w:rtl/>
        </w:rPr>
        <w:t>ה</w:t>
      </w:r>
      <w:r w:rsidRPr="00FD3FB4">
        <w:rPr>
          <w:rtl/>
        </w:rPr>
        <w:t>תשס"ט-2009</w:t>
      </w:r>
      <w:r>
        <w:rPr>
          <w:rFonts w:hint="cs"/>
          <w:rtl/>
        </w:rPr>
        <w:t xml:space="preserve">, אין ליתן רשות ערעור על החלטת בית המשפט המחוזי בעניין זה. עוד נטען, כי המסמכים שביקשו אמן </w:t>
      </w:r>
      <w:proofErr w:type="spellStart"/>
      <w:r>
        <w:rPr>
          <w:rFonts w:hint="cs"/>
          <w:rtl/>
        </w:rPr>
        <w:t>וסולושנס</w:t>
      </w:r>
      <w:proofErr w:type="spellEnd"/>
      <w:r>
        <w:rPr>
          <w:rFonts w:hint="cs"/>
          <w:rtl/>
        </w:rPr>
        <w:t xml:space="preserve"> אינם רלבנטיים לתביעה, וכי מדובר במסע דיג אקראי, שהיענות לו תיצור הכבדה לא הוגנת על ארבל </w:t>
      </w:r>
      <w:proofErr w:type="spellStart"/>
      <w:r>
        <w:rPr>
          <w:rFonts w:hint="cs"/>
          <w:rtl/>
        </w:rPr>
        <w:t>וונצ'ר</w:t>
      </w:r>
      <w:proofErr w:type="spellEnd"/>
      <w:r>
        <w:rPr>
          <w:rFonts w:hint="cs"/>
          <w:rtl/>
        </w:rPr>
        <w:t xml:space="preserve">; </w:t>
      </w:r>
      <w:r>
        <w:rPr>
          <w:rFonts w:ascii="Century" w:hAnsi="Century" w:cs="Miriam" w:hint="cs"/>
          <w:b/>
          <w:spacing w:val="0"/>
          <w:szCs w:val="24"/>
          <w:rtl/>
        </w:rPr>
        <w:t>ל</w:t>
      </w:r>
      <w:r w:rsidR="0061475C">
        <w:rPr>
          <w:rFonts w:ascii="Century" w:hAnsi="Century" w:cs="Miriam" w:hint="cs"/>
          <w:b/>
          <w:spacing w:val="0"/>
          <w:szCs w:val="24"/>
          <w:rtl/>
        </w:rPr>
        <w:t xml:space="preserve">גבי </w:t>
      </w:r>
      <w:r>
        <w:rPr>
          <w:rFonts w:ascii="Century" w:hAnsi="Century" w:cs="Miriam" w:hint="cs"/>
          <w:b/>
          <w:spacing w:val="0"/>
          <w:szCs w:val="24"/>
          <w:rtl/>
        </w:rPr>
        <w:t>בקשתם שלהם</w:t>
      </w:r>
      <w:r w:rsidRPr="007D1AD7">
        <w:rPr>
          <w:rFonts w:hint="cs"/>
          <w:rtl/>
        </w:rPr>
        <w:t xml:space="preserve"> </w:t>
      </w:r>
      <w:r>
        <w:rPr>
          <w:rtl/>
        </w:rPr>
        <w:t>–</w:t>
      </w:r>
      <w:r>
        <w:rPr>
          <w:rFonts w:hint="cs"/>
          <w:rtl/>
        </w:rPr>
        <w:t xml:space="preserve"> טענו ארבל </w:t>
      </w:r>
      <w:proofErr w:type="spellStart"/>
      <w:r>
        <w:rPr>
          <w:rFonts w:hint="cs"/>
          <w:rtl/>
        </w:rPr>
        <w:t>וונצ'ר</w:t>
      </w:r>
      <w:proofErr w:type="spellEnd"/>
      <w:r>
        <w:rPr>
          <w:rFonts w:hint="cs"/>
          <w:rtl/>
        </w:rPr>
        <w:t xml:space="preserve"> כי המסמכים המבוקשים רלבנטיים ביותר לבירור </w:t>
      </w:r>
      <w:proofErr w:type="spellStart"/>
      <w:r>
        <w:rPr>
          <w:rFonts w:hint="cs"/>
          <w:rtl/>
        </w:rPr>
        <w:t>הסעדים</w:t>
      </w:r>
      <w:proofErr w:type="spellEnd"/>
      <w:r>
        <w:rPr>
          <w:rFonts w:hint="cs"/>
          <w:rtl/>
        </w:rPr>
        <w:t xml:space="preserve"> הכספיים שתבעו, וכי בשל כך הורה בית המשפט המחוזי על גילוי ועיון, תוך יצירת איזון בין השיקולים השונים, באמצעות צמצום הבקשה במהלך הדיון. כך או כך, ארבל </w:t>
      </w:r>
      <w:proofErr w:type="spellStart"/>
      <w:r>
        <w:rPr>
          <w:rFonts w:hint="cs"/>
          <w:rtl/>
        </w:rPr>
        <w:t>וונצ'ר</w:t>
      </w:r>
      <w:proofErr w:type="spellEnd"/>
      <w:r>
        <w:rPr>
          <w:rFonts w:hint="cs"/>
          <w:rtl/>
        </w:rPr>
        <w:t xml:space="preserve"> מדגישים כי אין מקום להתערב </w:t>
      </w:r>
      <w:r w:rsidRPr="00223D22">
        <w:rPr>
          <w:rtl/>
        </w:rPr>
        <w:t xml:space="preserve">בהחלטה </w:t>
      </w:r>
      <w:r>
        <w:rPr>
          <w:rFonts w:hint="cs"/>
          <w:rtl/>
        </w:rPr>
        <w:t xml:space="preserve">שנתנה </w:t>
      </w:r>
      <w:r w:rsidRPr="00223D22">
        <w:rPr>
          <w:rtl/>
        </w:rPr>
        <w:t xml:space="preserve">הערכאה הדיונית בעניינים </w:t>
      </w:r>
      <w:r>
        <w:rPr>
          <w:rFonts w:hint="cs"/>
          <w:rtl/>
        </w:rPr>
        <w:t>הנוגעים ל</w:t>
      </w:r>
      <w:r w:rsidRPr="00223D22">
        <w:rPr>
          <w:rtl/>
        </w:rPr>
        <w:t>סדר</w:t>
      </w:r>
      <w:r>
        <w:rPr>
          <w:rFonts w:hint="cs"/>
          <w:rtl/>
        </w:rPr>
        <w:t>י</w:t>
      </w:r>
      <w:r w:rsidRPr="00223D22">
        <w:rPr>
          <w:rtl/>
        </w:rPr>
        <w:t xml:space="preserve"> </w:t>
      </w:r>
      <w:r>
        <w:rPr>
          <w:rFonts w:hint="cs"/>
          <w:rtl/>
        </w:rPr>
        <w:t>ה</w:t>
      </w:r>
      <w:r w:rsidRPr="00223D22">
        <w:rPr>
          <w:rtl/>
        </w:rPr>
        <w:t>דין</w:t>
      </w:r>
      <w:r>
        <w:rPr>
          <w:rFonts w:hint="cs"/>
          <w:rtl/>
        </w:rPr>
        <w:t>.</w:t>
      </w:r>
    </w:p>
    <w:p w14:paraId="71CABC88" w14:textId="77777777" w:rsidR="005C3DB9" w:rsidRDefault="005C3DB9" w:rsidP="00A90B22">
      <w:pPr>
        <w:pStyle w:val="Ruller4"/>
        <w:spacing w:line="240" w:lineRule="auto"/>
        <w:rPr>
          <w:sz w:val="28"/>
          <w:rtl/>
        </w:rPr>
      </w:pPr>
    </w:p>
    <w:p w14:paraId="09AF9842" w14:textId="77777777" w:rsidR="005C3DB9" w:rsidRDefault="005C3DB9" w:rsidP="005C3DB9">
      <w:pPr>
        <w:pStyle w:val="Ruller4"/>
        <w:rPr>
          <w:sz w:val="28"/>
          <w:rtl/>
        </w:rPr>
      </w:pPr>
      <w:r>
        <w:rPr>
          <w:rFonts w:hint="cs"/>
          <w:sz w:val="28"/>
          <w:rtl/>
        </w:rPr>
        <w:t>9.</w:t>
      </w:r>
      <w:r>
        <w:rPr>
          <w:sz w:val="28"/>
          <w:rtl/>
        </w:rPr>
        <w:tab/>
      </w:r>
      <w:r w:rsidRPr="00C53FF0">
        <w:rPr>
          <w:sz w:val="28"/>
          <w:rtl/>
        </w:rPr>
        <w:t>לאחר עיון בטענות הצדדים מזה ומזה, באתי לכלל מסקנה כי</w:t>
      </w:r>
      <w:r w:rsidRPr="00C53FF0">
        <w:rPr>
          <w:rFonts w:hint="cs"/>
          <w:sz w:val="28"/>
          <w:rtl/>
        </w:rPr>
        <w:t xml:space="preserve"> יש לקבל את בקשת </w:t>
      </w:r>
      <w:r w:rsidR="00945DA8">
        <w:rPr>
          <w:rFonts w:hint="cs"/>
          <w:sz w:val="28"/>
          <w:rtl/>
        </w:rPr>
        <w:t xml:space="preserve">רשות </w:t>
      </w:r>
      <w:r w:rsidRPr="00C53FF0">
        <w:rPr>
          <w:rFonts w:hint="cs"/>
          <w:sz w:val="28"/>
          <w:rtl/>
        </w:rPr>
        <w:t>הערעור, לדון בה כ</w:t>
      </w:r>
      <w:r w:rsidR="00945DA8">
        <w:rPr>
          <w:rFonts w:hint="cs"/>
          <w:sz w:val="28"/>
          <w:rtl/>
        </w:rPr>
        <w:t>ב</w:t>
      </w:r>
      <w:r w:rsidRPr="00C53FF0">
        <w:rPr>
          <w:rFonts w:hint="cs"/>
          <w:sz w:val="28"/>
          <w:rtl/>
        </w:rPr>
        <w:t>ערעור</w:t>
      </w:r>
      <w:r w:rsidR="00945DA8">
        <w:rPr>
          <w:rFonts w:hint="cs"/>
          <w:sz w:val="28"/>
          <w:rtl/>
        </w:rPr>
        <w:t>,</w:t>
      </w:r>
      <w:r w:rsidRPr="00C53FF0">
        <w:rPr>
          <w:rFonts w:hint="cs"/>
          <w:sz w:val="28"/>
          <w:rtl/>
        </w:rPr>
        <w:t xml:space="preserve"> בהתאם לסמכותי לפי תקנה 410 ל</w:t>
      </w:r>
      <w:r w:rsidRPr="00C53FF0">
        <w:rPr>
          <w:sz w:val="28"/>
          <w:rtl/>
        </w:rPr>
        <w:t>תקנות סדר הדין האזרחי</w:t>
      </w:r>
      <w:r w:rsidRPr="00C53FF0">
        <w:rPr>
          <w:rFonts w:hint="cs"/>
          <w:sz w:val="28"/>
          <w:rtl/>
        </w:rPr>
        <w:t xml:space="preserve">, התשמ"ד-1984, ולקבל את הערעור </w:t>
      </w:r>
      <w:r w:rsidRPr="00C53FF0">
        <w:rPr>
          <w:sz w:val="28"/>
          <w:rtl/>
        </w:rPr>
        <w:t>–</w:t>
      </w:r>
      <w:r w:rsidRPr="00C53FF0">
        <w:rPr>
          <w:rFonts w:hint="cs"/>
          <w:sz w:val="28"/>
          <w:rtl/>
        </w:rPr>
        <w:t xml:space="preserve"> אם כי באופן חלקי.</w:t>
      </w:r>
    </w:p>
    <w:p w14:paraId="3070D05A" w14:textId="77777777" w:rsidR="005C3DB9" w:rsidRDefault="005C3DB9" w:rsidP="005C3DB9">
      <w:pPr>
        <w:pStyle w:val="Ruller4"/>
        <w:rPr>
          <w:sz w:val="28"/>
          <w:rtl/>
        </w:rPr>
      </w:pPr>
    </w:p>
    <w:p w14:paraId="72F5E542" w14:textId="77777777" w:rsidR="005C3DB9" w:rsidRDefault="005C3DB9" w:rsidP="00A90B22">
      <w:pPr>
        <w:pStyle w:val="Ruller4"/>
        <w:spacing w:line="240" w:lineRule="auto"/>
        <w:rPr>
          <w:rFonts w:ascii="Century" w:hAnsi="Century" w:cs="Miriam"/>
          <w:b/>
          <w:spacing w:val="0"/>
          <w:szCs w:val="24"/>
          <w:rtl/>
        </w:rPr>
      </w:pPr>
      <w:r>
        <w:rPr>
          <w:rFonts w:ascii="Century" w:hAnsi="Century" w:cs="Miriam" w:hint="cs"/>
          <w:b/>
          <w:spacing w:val="0"/>
          <w:szCs w:val="24"/>
          <w:rtl/>
        </w:rPr>
        <w:t xml:space="preserve">בקשת אמן </w:t>
      </w:r>
      <w:proofErr w:type="spellStart"/>
      <w:r>
        <w:rPr>
          <w:rFonts w:ascii="Century" w:hAnsi="Century" w:cs="Miriam" w:hint="cs"/>
          <w:b/>
          <w:spacing w:val="0"/>
          <w:szCs w:val="24"/>
          <w:rtl/>
        </w:rPr>
        <w:t>וסולושנס</w:t>
      </w:r>
      <w:proofErr w:type="spellEnd"/>
    </w:p>
    <w:p w14:paraId="5E6909A3" w14:textId="77777777" w:rsidR="005C3DB9" w:rsidRDefault="005C3DB9" w:rsidP="00A90B22">
      <w:pPr>
        <w:pStyle w:val="Ruller4"/>
        <w:spacing w:line="240" w:lineRule="auto"/>
        <w:rPr>
          <w:sz w:val="28"/>
          <w:rtl/>
        </w:rPr>
      </w:pPr>
    </w:p>
    <w:p w14:paraId="7EA3AB5F" w14:textId="77777777" w:rsidR="005C3DB9" w:rsidRDefault="005C3DB9" w:rsidP="00945DA8">
      <w:pPr>
        <w:pStyle w:val="Ruller4"/>
        <w:rPr>
          <w:rFonts w:ascii="Century" w:hAnsi="Century"/>
          <w:rtl/>
        </w:rPr>
      </w:pPr>
      <w:r>
        <w:rPr>
          <w:rFonts w:hint="cs"/>
          <w:sz w:val="28"/>
          <w:rtl/>
        </w:rPr>
        <w:t>10.</w:t>
      </w:r>
      <w:r>
        <w:rPr>
          <w:rFonts w:hint="cs"/>
          <w:sz w:val="28"/>
          <w:rtl/>
        </w:rPr>
        <w:tab/>
      </w:r>
      <w:r>
        <w:rPr>
          <w:rFonts w:ascii="Century" w:hAnsi="Century" w:hint="cs"/>
          <w:rtl/>
        </w:rPr>
        <w:t>כידוע, לערכאה הדיונית מסור שיקול דעת רחב בכל הנוגע לניהול סדרי הדין, לרבות בעניינים של גילוי ועיון מסמכים (</w:t>
      </w:r>
      <w:r w:rsidRPr="00584B2C">
        <w:rPr>
          <w:sz w:val="28"/>
          <w:rtl/>
        </w:rPr>
        <w:t>ראו</w:t>
      </w:r>
      <w:r>
        <w:rPr>
          <w:rFonts w:hint="cs"/>
          <w:sz w:val="28"/>
          <w:rtl/>
        </w:rPr>
        <w:t>:</w:t>
      </w:r>
      <w:r w:rsidRPr="00584B2C">
        <w:rPr>
          <w:sz w:val="28"/>
          <w:rtl/>
        </w:rPr>
        <w:t xml:space="preserve"> רע"א 6546/94 </w:t>
      </w:r>
      <w:r w:rsidRPr="00860837">
        <w:rPr>
          <w:rFonts w:ascii="Century" w:hAnsi="Century" w:cs="Miriam"/>
          <w:b/>
          <w:spacing w:val="0"/>
          <w:szCs w:val="24"/>
          <w:rtl/>
        </w:rPr>
        <w:t>בנק איגוד לישראל בע"מ נ' אזולאי</w:t>
      </w:r>
      <w:r w:rsidRPr="00584B2C">
        <w:rPr>
          <w:sz w:val="28"/>
          <w:rtl/>
        </w:rPr>
        <w:t>, פ"ד מט(4) 54, 61 (1995)</w:t>
      </w:r>
      <w:r>
        <w:rPr>
          <w:rFonts w:ascii="Century" w:hAnsi="Century" w:hint="cs"/>
          <w:rtl/>
        </w:rPr>
        <w:t xml:space="preserve">; </w:t>
      </w:r>
      <w:r w:rsidRPr="00584B2C">
        <w:rPr>
          <w:sz w:val="28"/>
          <w:rtl/>
        </w:rPr>
        <w:t xml:space="preserve">רע"א 4295/19 </w:t>
      </w:r>
      <w:r w:rsidRPr="00637C72">
        <w:rPr>
          <w:rFonts w:ascii="Century" w:hAnsi="Century" w:cs="Miriam"/>
          <w:b/>
          <w:spacing w:val="0"/>
          <w:szCs w:val="24"/>
          <w:rtl/>
        </w:rPr>
        <w:t xml:space="preserve">מעוז דניאל חברה קבלנית לבניה בע"מ נ' חברת פרויקט </w:t>
      </w:r>
      <w:proofErr w:type="spellStart"/>
      <w:r w:rsidRPr="00637C72">
        <w:rPr>
          <w:rFonts w:ascii="Century" w:hAnsi="Century" w:cs="Miriam"/>
          <w:b/>
          <w:spacing w:val="0"/>
          <w:szCs w:val="24"/>
          <w:rtl/>
        </w:rPr>
        <w:t>לוגאנו</w:t>
      </w:r>
      <w:proofErr w:type="spellEnd"/>
      <w:r w:rsidRPr="00637C72">
        <w:rPr>
          <w:rFonts w:ascii="Century" w:hAnsi="Century" w:cs="Miriam"/>
          <w:b/>
          <w:spacing w:val="0"/>
          <w:szCs w:val="24"/>
          <w:rtl/>
        </w:rPr>
        <w:t xml:space="preserve"> יהוד בע"מ</w:t>
      </w:r>
      <w:r>
        <w:rPr>
          <w:rFonts w:hint="cs"/>
          <w:sz w:val="28"/>
          <w:rtl/>
        </w:rPr>
        <w:t>, פסקה 8</w:t>
      </w:r>
      <w:r w:rsidRPr="00637C72">
        <w:rPr>
          <w:sz w:val="28"/>
          <w:rtl/>
        </w:rPr>
        <w:t xml:space="preserve"> </w:t>
      </w:r>
      <w:r>
        <w:rPr>
          <w:sz w:val="28"/>
          <w:rtl/>
        </w:rPr>
        <w:t>(28.8.2019)</w:t>
      </w:r>
      <w:r>
        <w:rPr>
          <w:rFonts w:ascii="Century" w:hAnsi="Century" w:hint="cs"/>
          <w:rtl/>
        </w:rPr>
        <w:t>). חיוב צד שלישי, שאיננו בעל דין, לגלות מסמכים המצויים ב</w:t>
      </w:r>
      <w:r w:rsidR="00945DA8">
        <w:rPr>
          <w:rFonts w:ascii="Century" w:hAnsi="Century" w:hint="cs"/>
          <w:rtl/>
        </w:rPr>
        <w:t xml:space="preserve">רשותו </w:t>
      </w:r>
      <w:r>
        <w:rPr>
          <w:rFonts w:ascii="Century" w:hAnsi="Century" w:hint="cs"/>
          <w:rtl/>
        </w:rPr>
        <w:t xml:space="preserve">ולאפשר עיון בהם, הוא החריג </w:t>
      </w:r>
      <w:r>
        <w:rPr>
          <w:rFonts w:ascii="Century" w:hAnsi="Century"/>
          <w:rtl/>
        </w:rPr>
        <w:t>–</w:t>
      </w:r>
      <w:r>
        <w:rPr>
          <w:rFonts w:ascii="Century" w:hAnsi="Century" w:hint="cs"/>
          <w:rtl/>
        </w:rPr>
        <w:t xml:space="preserve"> ולא הכלל </w:t>
      </w:r>
      <w:r w:rsidRPr="00372433">
        <w:rPr>
          <w:sz w:val="28"/>
          <w:rtl/>
        </w:rPr>
        <w:t xml:space="preserve">(רע"א 7264/95 </w:t>
      </w:r>
      <w:r w:rsidRPr="00AD65A3">
        <w:rPr>
          <w:rFonts w:ascii="Century" w:hAnsi="Century" w:cs="Miriam"/>
          <w:b/>
          <w:spacing w:val="0"/>
          <w:szCs w:val="24"/>
          <w:rtl/>
        </w:rPr>
        <w:t xml:space="preserve">ראש קש נסיר בע"מ נ' </w:t>
      </w:r>
      <w:proofErr w:type="spellStart"/>
      <w:r w:rsidRPr="00AD65A3">
        <w:rPr>
          <w:rFonts w:ascii="Century" w:hAnsi="Century" w:cs="Miriam"/>
          <w:b/>
          <w:spacing w:val="0"/>
          <w:szCs w:val="24"/>
          <w:rtl/>
        </w:rPr>
        <w:t>רוכביץ</w:t>
      </w:r>
      <w:proofErr w:type="spellEnd"/>
      <w:r w:rsidRPr="00AD65A3">
        <w:rPr>
          <w:rFonts w:ascii="Century" w:hAnsi="Century" w:cs="Miriam"/>
          <w:b/>
          <w:spacing w:val="0"/>
          <w:szCs w:val="24"/>
          <w:rtl/>
        </w:rPr>
        <w:t xml:space="preserve"> ישראל</w:t>
      </w:r>
      <w:r w:rsidRPr="00372433">
        <w:rPr>
          <w:sz w:val="28"/>
          <w:rtl/>
        </w:rPr>
        <w:t xml:space="preserve">, פ"ד </w:t>
      </w:r>
      <w:r>
        <w:rPr>
          <w:rFonts w:hint="cs"/>
          <w:sz w:val="28"/>
          <w:rtl/>
        </w:rPr>
        <w:t>מט</w:t>
      </w:r>
      <w:r w:rsidRPr="00372433">
        <w:rPr>
          <w:sz w:val="28"/>
          <w:rtl/>
        </w:rPr>
        <w:t>(5) 793 (1998)</w:t>
      </w:r>
      <w:r>
        <w:rPr>
          <w:rFonts w:hint="cs"/>
          <w:sz w:val="28"/>
          <w:rtl/>
        </w:rPr>
        <w:t xml:space="preserve">; </w:t>
      </w:r>
      <w:r w:rsidRPr="00372433">
        <w:rPr>
          <w:sz w:val="28"/>
          <w:rtl/>
        </w:rPr>
        <w:t xml:space="preserve">רע"א 3816/15 </w:t>
      </w:r>
      <w:r w:rsidRPr="00AD65A3">
        <w:rPr>
          <w:rFonts w:ascii="Century" w:hAnsi="Century" w:cs="Miriam"/>
          <w:b/>
          <w:spacing w:val="0"/>
          <w:szCs w:val="24"/>
          <w:rtl/>
        </w:rPr>
        <w:t xml:space="preserve">ב.ש ברוש הקמת </w:t>
      </w:r>
      <w:proofErr w:type="spellStart"/>
      <w:r w:rsidRPr="00AD65A3">
        <w:rPr>
          <w:rFonts w:ascii="Century" w:hAnsi="Century" w:cs="Miriam"/>
          <w:b/>
          <w:spacing w:val="0"/>
          <w:szCs w:val="24"/>
          <w:rtl/>
        </w:rPr>
        <w:t>פרוייקטים</w:t>
      </w:r>
      <w:proofErr w:type="spellEnd"/>
      <w:r w:rsidRPr="00AD65A3">
        <w:rPr>
          <w:rFonts w:ascii="Century" w:hAnsi="Century" w:cs="Miriam"/>
          <w:b/>
          <w:spacing w:val="0"/>
          <w:szCs w:val="24"/>
          <w:rtl/>
        </w:rPr>
        <w:t xml:space="preserve"> בע"מ נ' </w:t>
      </w:r>
      <w:proofErr w:type="spellStart"/>
      <w:r w:rsidRPr="00AD65A3">
        <w:rPr>
          <w:rFonts w:ascii="Century" w:hAnsi="Century" w:cs="Miriam"/>
          <w:b/>
          <w:spacing w:val="0"/>
          <w:szCs w:val="24"/>
          <w:rtl/>
        </w:rPr>
        <w:t>ת.ק.ש</w:t>
      </w:r>
      <w:proofErr w:type="spellEnd"/>
      <w:r w:rsidRPr="00AD65A3">
        <w:rPr>
          <w:rFonts w:ascii="Century" w:hAnsi="Century" w:cs="Miriam"/>
          <w:b/>
          <w:spacing w:val="0"/>
          <w:szCs w:val="24"/>
          <w:rtl/>
        </w:rPr>
        <w:t xml:space="preserve"> אלפיים (1997) בע"מ</w:t>
      </w:r>
      <w:r>
        <w:rPr>
          <w:rFonts w:hint="cs"/>
          <w:sz w:val="28"/>
          <w:rtl/>
        </w:rPr>
        <w:t xml:space="preserve">, פסקה 6 לפסק דינו של השופט </w:t>
      </w:r>
      <w:r w:rsidRPr="004C7181">
        <w:rPr>
          <w:rFonts w:ascii="Century" w:hAnsi="Century" w:cs="Miriam" w:hint="eastAsia"/>
          <w:b/>
          <w:spacing w:val="0"/>
          <w:szCs w:val="24"/>
          <w:rtl/>
        </w:rPr>
        <w:t>י</w:t>
      </w:r>
      <w:r w:rsidRPr="004C7181">
        <w:rPr>
          <w:rFonts w:ascii="Century" w:hAnsi="Century" w:cs="Miriam"/>
          <w:b/>
          <w:spacing w:val="0"/>
          <w:szCs w:val="24"/>
          <w:rtl/>
        </w:rPr>
        <w:t xml:space="preserve">' </w:t>
      </w:r>
      <w:r w:rsidRPr="004C7181">
        <w:rPr>
          <w:rFonts w:ascii="Century" w:hAnsi="Century" w:cs="Miriam" w:hint="eastAsia"/>
          <w:b/>
          <w:spacing w:val="0"/>
          <w:szCs w:val="24"/>
          <w:rtl/>
        </w:rPr>
        <w:t>עמית</w:t>
      </w:r>
      <w:r w:rsidRPr="00D86BCC">
        <w:rPr>
          <w:sz w:val="28"/>
          <w:rtl/>
        </w:rPr>
        <w:t xml:space="preserve"> </w:t>
      </w:r>
      <w:r>
        <w:rPr>
          <w:sz w:val="28"/>
          <w:rtl/>
        </w:rPr>
        <w:t>(23.</w:t>
      </w:r>
      <w:r w:rsidRPr="00372433">
        <w:rPr>
          <w:sz w:val="28"/>
          <w:rtl/>
        </w:rPr>
        <w:t>8.2015))</w:t>
      </w:r>
      <w:r>
        <w:rPr>
          <w:rFonts w:hint="cs"/>
          <w:sz w:val="28"/>
          <w:rtl/>
        </w:rPr>
        <w:t>.</w:t>
      </w:r>
      <w:r>
        <w:rPr>
          <w:rFonts w:ascii="Century" w:hAnsi="Century" w:hint="cs"/>
          <w:rtl/>
        </w:rPr>
        <w:t xml:space="preserve"> כל צד טען את </w:t>
      </w:r>
      <w:r w:rsidR="00945DA8">
        <w:rPr>
          <w:rFonts w:ascii="Century" w:hAnsi="Century" w:hint="cs"/>
          <w:rtl/>
        </w:rPr>
        <w:t>א</w:t>
      </w:r>
      <w:r>
        <w:rPr>
          <w:rFonts w:ascii="Century" w:hAnsi="Century" w:hint="cs"/>
          <w:rtl/>
        </w:rPr>
        <w:t>ש</w:t>
      </w:r>
      <w:r w:rsidR="00945DA8">
        <w:rPr>
          <w:rFonts w:ascii="Century" w:hAnsi="Century" w:hint="cs"/>
          <w:rtl/>
        </w:rPr>
        <w:t xml:space="preserve">ר </w:t>
      </w:r>
      <w:r>
        <w:rPr>
          <w:rFonts w:ascii="Century" w:hAnsi="Century" w:hint="cs"/>
          <w:rtl/>
        </w:rPr>
        <w:t>טען ל</w:t>
      </w:r>
      <w:r w:rsidR="00945DA8">
        <w:rPr>
          <w:rFonts w:ascii="Century" w:hAnsi="Century" w:hint="cs"/>
          <w:rtl/>
        </w:rPr>
        <w:t xml:space="preserve">גבי </w:t>
      </w:r>
      <w:r>
        <w:rPr>
          <w:rFonts w:ascii="Century" w:hAnsi="Century" w:hint="cs"/>
          <w:rtl/>
        </w:rPr>
        <w:t>הבקשות ההדדיות לגילוי ועיון במסמכים. לאחר שדן בדבר</w:t>
      </w:r>
      <w:r w:rsidR="00DA629E">
        <w:rPr>
          <w:rFonts w:ascii="Century" w:hAnsi="Century" w:hint="cs"/>
          <w:rtl/>
        </w:rPr>
        <w:t>,</w:t>
      </w:r>
      <w:r>
        <w:rPr>
          <w:rFonts w:ascii="Century" w:hAnsi="Century" w:hint="cs"/>
          <w:rtl/>
        </w:rPr>
        <w:t xml:space="preserve"> הגיע בית המשפט המחוזי לכלל מסקנה כי אין מקום לחרוג מהכלל, ובחר שלא להורות על גילוי ועיון ביחס לצדדים שלישיים. הנה כי כן, דיון לפני בית המשפט </w:t>
      </w:r>
      <w:r>
        <w:rPr>
          <w:rFonts w:ascii="Century" w:hAnsi="Century"/>
          <w:rtl/>
        </w:rPr>
        <w:t>–</w:t>
      </w:r>
      <w:r>
        <w:rPr>
          <w:rFonts w:ascii="Century" w:hAnsi="Century" w:hint="cs"/>
          <w:rtl/>
        </w:rPr>
        <w:t xml:space="preserve"> התקיים; הטענות בדבר חיוב חברת </w:t>
      </w:r>
      <w:proofErr w:type="spellStart"/>
      <w:r>
        <w:rPr>
          <w:rFonts w:ascii="Century" w:hAnsi="Century" w:hint="cs"/>
          <w:rtl/>
        </w:rPr>
        <w:t>ויטול</w:t>
      </w:r>
      <w:proofErr w:type="spellEnd"/>
      <w:r>
        <w:rPr>
          <w:rFonts w:ascii="Century" w:hAnsi="Century" w:hint="cs"/>
          <w:rtl/>
        </w:rPr>
        <w:t xml:space="preserve"> בגילוי ועיון </w:t>
      </w:r>
      <w:r>
        <w:rPr>
          <w:rFonts w:ascii="Century" w:hAnsi="Century"/>
          <w:rtl/>
        </w:rPr>
        <w:t>–</w:t>
      </w:r>
      <w:r>
        <w:rPr>
          <w:rFonts w:ascii="Century" w:hAnsi="Century" w:hint="cs"/>
          <w:rtl/>
        </w:rPr>
        <w:t xml:space="preserve"> נשקלו; החלטת בית המשפט </w:t>
      </w:r>
      <w:r>
        <w:rPr>
          <w:rFonts w:ascii="Century" w:hAnsi="Century"/>
          <w:rtl/>
        </w:rPr>
        <w:t>–</w:t>
      </w:r>
      <w:r>
        <w:rPr>
          <w:rFonts w:ascii="Century" w:hAnsi="Century" w:hint="cs"/>
          <w:rtl/>
        </w:rPr>
        <w:t xml:space="preserve"> ניתנה. איני מוצא כי בהחלטת בית המחוזי בענייננו נפל פגם, ודאי לא פגם חמור, המצדיק את התערבותי.</w:t>
      </w:r>
    </w:p>
    <w:p w14:paraId="67F250B3" w14:textId="77777777" w:rsidR="005C3DB9" w:rsidRDefault="005C3DB9" w:rsidP="005C3DB9">
      <w:pPr>
        <w:pStyle w:val="Ruller4"/>
        <w:rPr>
          <w:rFonts w:ascii="Century" w:hAnsi="Century"/>
          <w:rtl/>
        </w:rPr>
      </w:pPr>
    </w:p>
    <w:p w14:paraId="560EC02A" w14:textId="77777777" w:rsidR="005C3DB9" w:rsidRDefault="005C3DB9" w:rsidP="00A90B22">
      <w:pPr>
        <w:pStyle w:val="Ruller4"/>
        <w:spacing w:line="240" w:lineRule="auto"/>
        <w:rPr>
          <w:rFonts w:ascii="Century" w:hAnsi="Century" w:cs="Miriam"/>
          <w:b/>
          <w:spacing w:val="0"/>
          <w:szCs w:val="24"/>
          <w:rtl/>
        </w:rPr>
      </w:pPr>
      <w:r w:rsidRPr="00542498">
        <w:rPr>
          <w:rFonts w:ascii="Century" w:hAnsi="Century" w:cs="Miriam" w:hint="cs"/>
          <w:b/>
          <w:spacing w:val="0"/>
          <w:szCs w:val="24"/>
          <w:rtl/>
        </w:rPr>
        <w:t xml:space="preserve">בקשת ארבל </w:t>
      </w:r>
      <w:proofErr w:type="spellStart"/>
      <w:r w:rsidRPr="00542498">
        <w:rPr>
          <w:rFonts w:ascii="Century" w:hAnsi="Century" w:cs="Miriam" w:hint="cs"/>
          <w:b/>
          <w:spacing w:val="0"/>
          <w:szCs w:val="24"/>
          <w:rtl/>
        </w:rPr>
        <w:t>וונצ'ר</w:t>
      </w:r>
      <w:proofErr w:type="spellEnd"/>
    </w:p>
    <w:p w14:paraId="0EEEDCA2" w14:textId="77777777" w:rsidR="005C3DB9" w:rsidRDefault="005C3DB9" w:rsidP="00A90B22">
      <w:pPr>
        <w:pStyle w:val="Ruller4"/>
        <w:spacing w:line="240" w:lineRule="auto"/>
        <w:rPr>
          <w:rFonts w:ascii="Century" w:hAnsi="Century"/>
          <w:rtl/>
        </w:rPr>
      </w:pPr>
    </w:p>
    <w:p w14:paraId="7C92F05D" w14:textId="77777777" w:rsidR="005C3DB9" w:rsidRDefault="005C3DB9" w:rsidP="00063CA6">
      <w:pPr>
        <w:pStyle w:val="Ruller4"/>
        <w:rPr>
          <w:rFonts w:ascii="Century" w:hAnsi="Century"/>
          <w:rtl/>
        </w:rPr>
      </w:pPr>
      <w:r>
        <w:rPr>
          <w:rFonts w:ascii="Century" w:hAnsi="Century" w:hint="cs"/>
          <w:rtl/>
        </w:rPr>
        <w:t>1</w:t>
      </w:r>
      <w:r w:rsidR="00063CA6">
        <w:rPr>
          <w:rFonts w:ascii="Century" w:hAnsi="Century" w:hint="cs"/>
          <w:rtl/>
        </w:rPr>
        <w:t>1</w:t>
      </w:r>
      <w:r>
        <w:rPr>
          <w:rFonts w:ascii="Century" w:hAnsi="Century" w:hint="cs"/>
          <w:rtl/>
        </w:rPr>
        <w:t>.</w:t>
      </w:r>
      <w:r>
        <w:rPr>
          <w:rFonts w:ascii="Century" w:hAnsi="Century" w:hint="cs"/>
          <w:rtl/>
        </w:rPr>
        <w:tab/>
        <w:t xml:space="preserve">ענייננו בהליכי גילוי ועיון במסמכים, אגב תביעה למתן חשבונות. הלכה </w:t>
      </w:r>
      <w:r w:rsidR="00A90B22">
        <w:rPr>
          <w:rFonts w:ascii="Century" w:hAnsi="Century" w:hint="cs"/>
          <w:rtl/>
        </w:rPr>
        <w:t xml:space="preserve">פסוקה </w:t>
      </w:r>
      <w:r>
        <w:rPr>
          <w:rFonts w:ascii="Century" w:hAnsi="Century" w:hint="cs"/>
          <w:rtl/>
        </w:rPr>
        <w:t xml:space="preserve">היא, כי </w:t>
      </w:r>
      <w:proofErr w:type="spellStart"/>
      <w:r>
        <w:rPr>
          <w:rFonts w:ascii="Century" w:hAnsi="Century" w:hint="cs"/>
          <w:rtl/>
        </w:rPr>
        <w:t>בכגון</w:t>
      </w:r>
      <w:proofErr w:type="spellEnd"/>
      <w:r>
        <w:rPr>
          <w:rFonts w:ascii="Century" w:hAnsi="Century" w:hint="cs"/>
          <w:rtl/>
        </w:rPr>
        <w:t xml:space="preserve"> דא אין להורות על מסירה של מסמכים שיש בהם משום הגשמה של הסעד העיקרי למתן חשבונות, המבוקש </w:t>
      </w:r>
      <w:r w:rsidR="00AB1046">
        <w:rPr>
          <w:rFonts w:ascii="Century" w:hAnsi="Century" w:hint="cs"/>
          <w:rtl/>
        </w:rPr>
        <w:t xml:space="preserve">בתביעה גופה. במקרה כזה, ניתן </w:t>
      </w:r>
      <w:proofErr w:type="spellStart"/>
      <w:r w:rsidR="00AB1046">
        <w:rPr>
          <w:rFonts w:ascii="Century" w:hAnsi="Century" w:hint="cs"/>
          <w:rtl/>
        </w:rPr>
        <w:t>לה</w:t>
      </w:r>
      <w:r>
        <w:rPr>
          <w:rFonts w:ascii="Century" w:hAnsi="Century" w:hint="cs"/>
          <w:rtl/>
        </w:rPr>
        <w:t>עתר</w:t>
      </w:r>
      <w:proofErr w:type="spellEnd"/>
      <w:r>
        <w:rPr>
          <w:rFonts w:ascii="Century" w:hAnsi="Century" w:hint="cs"/>
          <w:rtl/>
        </w:rPr>
        <w:t xml:space="preserve"> לבקשה לגילוי ועיון רק ביחס למסמכים שהם רלבנטיים להכרעה בעצם השאלה אם יש מקום להורות </w:t>
      </w:r>
      <w:r>
        <w:rPr>
          <w:rFonts w:ascii="Century" w:hAnsi="Century" w:hint="cs"/>
          <w:rtl/>
        </w:rPr>
        <w:lastRenderedPageBreak/>
        <w:t>על מתן חשבונות (</w:t>
      </w:r>
      <w:r>
        <w:rPr>
          <w:rtl/>
        </w:rPr>
        <w:t xml:space="preserve">רע"א 4822/16 </w:t>
      </w:r>
      <w:r w:rsidRPr="00F620C1">
        <w:rPr>
          <w:rStyle w:val="Char"/>
          <w:rtl/>
        </w:rPr>
        <w:t>בן שמחון נ' יקיר</w:t>
      </w:r>
      <w:r>
        <w:rPr>
          <w:rFonts w:hint="cs"/>
          <w:rtl/>
        </w:rPr>
        <w:t xml:space="preserve"> </w:t>
      </w:r>
      <w:r w:rsidRPr="00602544">
        <w:rPr>
          <w:rtl/>
        </w:rPr>
        <w:t>(</w:t>
      </w:r>
      <w:r>
        <w:rPr>
          <w:rtl/>
        </w:rPr>
        <w:t>16.</w:t>
      </w:r>
      <w:r w:rsidRPr="00602544">
        <w:rPr>
          <w:rtl/>
        </w:rPr>
        <w:t>8.2016</w:t>
      </w:r>
      <w:r>
        <w:rPr>
          <w:rFonts w:hint="cs"/>
          <w:rtl/>
        </w:rPr>
        <w:t>), פסקה 7</w:t>
      </w:r>
      <w:r w:rsidRPr="00602544">
        <w:rPr>
          <w:rtl/>
        </w:rPr>
        <w:t xml:space="preserve"> </w:t>
      </w:r>
      <w:r>
        <w:rPr>
          <w:rFonts w:hint="cs"/>
          <w:rtl/>
        </w:rPr>
        <w:t xml:space="preserve"> (להלן: </w:t>
      </w:r>
      <w:r w:rsidRPr="001D25E9">
        <w:rPr>
          <w:rFonts w:ascii="Century" w:hAnsi="Century" w:cs="Miriam" w:hint="cs"/>
          <w:b/>
          <w:spacing w:val="0"/>
          <w:szCs w:val="24"/>
          <w:rtl/>
        </w:rPr>
        <w:t>עניין בן שמחון</w:t>
      </w:r>
      <w:r>
        <w:rPr>
          <w:rFonts w:hint="cs"/>
          <w:rtl/>
        </w:rPr>
        <w:t xml:space="preserve">); </w:t>
      </w:r>
      <w:r w:rsidRPr="00BC65C2">
        <w:rPr>
          <w:rFonts w:ascii="Century" w:hAnsi="Century"/>
          <w:rtl/>
        </w:rPr>
        <w:t xml:space="preserve">רע"א 9919/16 </w:t>
      </w:r>
      <w:r w:rsidRPr="00BC65C2">
        <w:rPr>
          <w:rFonts w:ascii="Century" w:hAnsi="Century" w:cs="Miriam"/>
          <w:b/>
          <w:spacing w:val="0"/>
          <w:szCs w:val="24"/>
          <w:rtl/>
        </w:rPr>
        <w:t xml:space="preserve">דון גילי בע"מ נ' </w:t>
      </w:r>
      <w:r w:rsidRPr="00AB1046">
        <w:rPr>
          <w:rFonts w:ascii="Century" w:hAnsi="Century" w:cs="Miriam"/>
          <w:bCs/>
          <w:spacing w:val="0"/>
          <w:szCs w:val="24"/>
        </w:rPr>
        <w:t>Lifestyle Equities C.V</w:t>
      </w:r>
      <w:r>
        <w:rPr>
          <w:rFonts w:ascii="Century" w:hAnsi="Century" w:hint="cs"/>
          <w:rtl/>
        </w:rPr>
        <w:t xml:space="preserve"> </w:t>
      </w:r>
      <w:r>
        <w:rPr>
          <w:rFonts w:ascii="Century" w:hAnsi="Century"/>
          <w:rtl/>
        </w:rPr>
        <w:t>(7.</w:t>
      </w:r>
      <w:r w:rsidRPr="00BC65C2">
        <w:rPr>
          <w:rFonts w:ascii="Century" w:hAnsi="Century"/>
          <w:rtl/>
        </w:rPr>
        <w:t>2.2017)</w:t>
      </w:r>
      <w:r>
        <w:rPr>
          <w:rFonts w:ascii="Century" w:hAnsi="Century" w:hint="cs"/>
          <w:rtl/>
        </w:rPr>
        <w:t>, פסקה 7</w:t>
      </w:r>
      <w:r>
        <w:rPr>
          <w:rFonts w:hint="cs"/>
          <w:rtl/>
        </w:rPr>
        <w:t xml:space="preserve">; </w:t>
      </w:r>
      <w:r w:rsidRPr="00C51C64">
        <w:rPr>
          <w:rtl/>
        </w:rPr>
        <w:t xml:space="preserve">רע"א 504/18 </w:t>
      </w:r>
      <w:proofErr w:type="spellStart"/>
      <w:r w:rsidRPr="00C51C64">
        <w:rPr>
          <w:rFonts w:ascii="Century" w:hAnsi="Century" w:cs="Miriam"/>
          <w:b/>
          <w:spacing w:val="0"/>
          <w:szCs w:val="24"/>
          <w:rtl/>
        </w:rPr>
        <w:t>קסטנבוים</w:t>
      </w:r>
      <w:proofErr w:type="spellEnd"/>
      <w:r w:rsidRPr="00C51C64">
        <w:rPr>
          <w:rFonts w:ascii="Century" w:hAnsi="Century" w:cs="Miriam"/>
          <w:b/>
          <w:spacing w:val="0"/>
          <w:szCs w:val="24"/>
          <w:rtl/>
        </w:rPr>
        <w:t xml:space="preserve"> עיבוד ושיווק בע"מ נ' </w:t>
      </w:r>
      <w:proofErr w:type="spellStart"/>
      <w:r w:rsidRPr="00C51C64">
        <w:rPr>
          <w:rFonts w:ascii="Century" w:hAnsi="Century" w:cs="Miriam"/>
          <w:b/>
          <w:spacing w:val="0"/>
          <w:szCs w:val="24"/>
          <w:rtl/>
        </w:rPr>
        <w:t>רוזנטויס</w:t>
      </w:r>
      <w:proofErr w:type="spellEnd"/>
      <w:r w:rsidRPr="00C51C64">
        <w:rPr>
          <w:rFonts w:ascii="Century" w:hAnsi="Century" w:cs="Miriam"/>
          <w:b/>
          <w:spacing w:val="0"/>
          <w:szCs w:val="24"/>
          <w:rtl/>
        </w:rPr>
        <w:t xml:space="preserve"> בע"מ</w:t>
      </w:r>
      <w:r>
        <w:rPr>
          <w:rFonts w:hint="cs"/>
          <w:rtl/>
        </w:rPr>
        <w:t xml:space="preserve"> </w:t>
      </w:r>
      <w:r w:rsidRPr="00C51C64">
        <w:rPr>
          <w:rtl/>
        </w:rPr>
        <w:t>(</w:t>
      </w:r>
      <w:r>
        <w:rPr>
          <w:rtl/>
        </w:rPr>
        <w:t>19.3.2018)</w:t>
      </w:r>
      <w:r>
        <w:rPr>
          <w:rFonts w:hint="cs"/>
          <w:rtl/>
        </w:rPr>
        <w:t>, פסקה 12)</w:t>
      </w:r>
      <w:r>
        <w:rPr>
          <w:rFonts w:ascii="Century" w:hAnsi="Century" w:hint="cs"/>
          <w:rtl/>
        </w:rPr>
        <w:t>.</w:t>
      </w:r>
    </w:p>
    <w:p w14:paraId="2C1C24DC" w14:textId="77777777" w:rsidR="005C3DB9" w:rsidRDefault="005C3DB9" w:rsidP="00AB1046">
      <w:pPr>
        <w:pStyle w:val="Ruller4"/>
        <w:spacing w:line="240" w:lineRule="auto"/>
        <w:rPr>
          <w:rFonts w:ascii="Century" w:hAnsi="Century"/>
          <w:rtl/>
        </w:rPr>
      </w:pPr>
    </w:p>
    <w:p w14:paraId="4EBED62D" w14:textId="77777777" w:rsidR="005C3DB9" w:rsidRDefault="005C3DB9" w:rsidP="00063CA6">
      <w:pPr>
        <w:pStyle w:val="Ruller4"/>
        <w:rPr>
          <w:rFonts w:ascii="Century" w:hAnsi="Century"/>
          <w:rtl/>
        </w:rPr>
      </w:pPr>
      <w:r>
        <w:rPr>
          <w:rFonts w:ascii="Century" w:hAnsi="Century" w:hint="cs"/>
          <w:rtl/>
        </w:rPr>
        <w:t>1</w:t>
      </w:r>
      <w:r w:rsidR="00063CA6">
        <w:rPr>
          <w:rFonts w:ascii="Century" w:hAnsi="Century" w:hint="cs"/>
          <w:rtl/>
        </w:rPr>
        <w:t>2</w:t>
      </w:r>
      <w:r>
        <w:rPr>
          <w:rFonts w:ascii="Century" w:hAnsi="Century" w:hint="cs"/>
          <w:rtl/>
        </w:rPr>
        <w:t>.</w:t>
      </w:r>
      <w:r>
        <w:rPr>
          <w:rFonts w:ascii="Century" w:hAnsi="Century" w:hint="cs"/>
          <w:rtl/>
        </w:rPr>
        <w:tab/>
        <w:t xml:space="preserve">המסמכים שביקשו ארבל </w:t>
      </w:r>
      <w:proofErr w:type="spellStart"/>
      <w:r>
        <w:rPr>
          <w:rFonts w:ascii="Century" w:hAnsi="Century" w:hint="cs"/>
          <w:rtl/>
        </w:rPr>
        <w:t>וונצ'ר</w:t>
      </w:r>
      <w:proofErr w:type="spellEnd"/>
      <w:r>
        <w:rPr>
          <w:rFonts w:ascii="Century" w:hAnsi="Century" w:hint="cs"/>
          <w:rtl/>
        </w:rPr>
        <w:t xml:space="preserve"> נכל</w:t>
      </w:r>
      <w:r w:rsidR="00A90B22">
        <w:rPr>
          <w:rFonts w:ascii="Century" w:hAnsi="Century" w:hint="cs"/>
          <w:rtl/>
        </w:rPr>
        <w:t>לים בסעד למתן חשבונות, שנתבע על-</w:t>
      </w:r>
      <w:r>
        <w:rPr>
          <w:rFonts w:ascii="Century" w:hAnsi="Century" w:hint="cs"/>
          <w:rtl/>
        </w:rPr>
        <w:t xml:space="preserve">ידם במסגרת תביעתם שכנגד. בית המשפט המחוזי אמנם היה ער לכך, ואף ציין כי </w:t>
      </w:r>
      <w:r>
        <w:rPr>
          <w:rFonts w:ascii="Century" w:hAnsi="Century" w:cs="Miriam" w:hint="cs"/>
          <w:b/>
          <w:spacing w:val="0"/>
          <w:szCs w:val="24"/>
          <w:rtl/>
        </w:rPr>
        <w:t xml:space="preserve">"אילו היה מדובר </w:t>
      </w:r>
      <w:r w:rsidRPr="002D492F">
        <w:rPr>
          <w:rFonts w:ascii="Century" w:hAnsi="Century" w:cs="Miriam" w:hint="cs"/>
          <w:b/>
          <w:spacing w:val="0"/>
          <w:szCs w:val="24"/>
          <w:rtl/>
        </w:rPr>
        <w:t>בתביעה למתן חשבונות בלבד היה מקום לדחות את הבקשה"</w:t>
      </w:r>
      <w:r>
        <w:rPr>
          <w:rFonts w:ascii="Century" w:hAnsi="Century" w:hint="cs"/>
          <w:rtl/>
        </w:rPr>
        <w:t xml:space="preserve">. עם זאת, בית המשפט המחוזי ראה לנכון לחרוג מההלכה האמורה, מן הטעם שלצד הסעד של מתן חשבונות תבעו ארבל </w:t>
      </w:r>
      <w:proofErr w:type="spellStart"/>
      <w:r>
        <w:rPr>
          <w:rFonts w:ascii="Century" w:hAnsi="Century" w:hint="cs"/>
          <w:rtl/>
        </w:rPr>
        <w:t>וונצ'ר</w:t>
      </w:r>
      <w:proofErr w:type="spellEnd"/>
      <w:r>
        <w:rPr>
          <w:rFonts w:ascii="Century" w:hAnsi="Century" w:hint="cs"/>
          <w:rtl/>
        </w:rPr>
        <w:t xml:space="preserve"> גם סעדים כספיים.</w:t>
      </w:r>
    </w:p>
    <w:p w14:paraId="0A2B566A" w14:textId="77777777" w:rsidR="005C3DB9" w:rsidRDefault="005C3DB9" w:rsidP="00AB1046">
      <w:pPr>
        <w:pStyle w:val="Ruller4"/>
        <w:spacing w:line="240" w:lineRule="auto"/>
        <w:rPr>
          <w:rFonts w:ascii="Century" w:hAnsi="Century"/>
          <w:rtl/>
        </w:rPr>
      </w:pPr>
    </w:p>
    <w:p w14:paraId="3B9EE0B9" w14:textId="77777777" w:rsidR="005C3DB9" w:rsidRDefault="005C3DB9" w:rsidP="00063CA6">
      <w:pPr>
        <w:pStyle w:val="Ruller4"/>
        <w:rPr>
          <w:rFonts w:ascii="Century" w:hAnsi="Century"/>
          <w:rtl/>
        </w:rPr>
      </w:pPr>
      <w:r>
        <w:rPr>
          <w:rFonts w:ascii="Century" w:hAnsi="Century" w:hint="cs"/>
          <w:rtl/>
        </w:rPr>
        <w:t>1</w:t>
      </w:r>
      <w:r w:rsidR="00063CA6">
        <w:rPr>
          <w:rFonts w:ascii="Century" w:hAnsi="Century" w:hint="cs"/>
          <w:rtl/>
        </w:rPr>
        <w:t>3</w:t>
      </w:r>
      <w:r>
        <w:rPr>
          <w:rFonts w:ascii="Century" w:hAnsi="Century" w:hint="cs"/>
          <w:rtl/>
        </w:rPr>
        <w:t>.</w:t>
      </w:r>
      <w:r>
        <w:rPr>
          <w:rFonts w:ascii="Century" w:hAnsi="Century" w:hint="cs"/>
          <w:rtl/>
        </w:rPr>
        <w:tab/>
        <w:t xml:space="preserve">אין בידי לקבל נימוק זה. הליכי גילוי ועיון במסמכים נועדו לאפשר את בירור זכאותו של התובע לסעד העיקרי שלו הוא טוען. לאמן </w:t>
      </w:r>
      <w:proofErr w:type="spellStart"/>
      <w:r>
        <w:rPr>
          <w:rFonts w:ascii="Century" w:hAnsi="Century" w:hint="cs"/>
          <w:rtl/>
        </w:rPr>
        <w:t>וסולושנס</w:t>
      </w:r>
      <w:proofErr w:type="spellEnd"/>
      <w:r>
        <w:rPr>
          <w:rFonts w:ascii="Century" w:hAnsi="Century" w:hint="cs"/>
          <w:rtl/>
        </w:rPr>
        <w:t xml:space="preserve"> עומדת הזכות להתגונן אף מפני הסעד של מתן חשבונות, בהתאם לסדרי הדין. אין בעובדה שנתבעו סעדים נוספים, או שבקשת הגילוי והעיון צומצמה אך לחלק מהמסמכים המבוקשים בבקשה למתן חשבונות, כדי לשלול מהם זכות זו. אין להפוך את היוצרות ולהכריע במקצת </w:t>
      </w:r>
      <w:proofErr w:type="spellStart"/>
      <w:r>
        <w:rPr>
          <w:rFonts w:ascii="Century" w:hAnsi="Century" w:hint="cs"/>
          <w:rtl/>
        </w:rPr>
        <w:t>מהסעדים</w:t>
      </w:r>
      <w:proofErr w:type="spellEnd"/>
      <w:r>
        <w:rPr>
          <w:rFonts w:ascii="Century" w:hAnsi="Century" w:hint="cs"/>
          <w:rtl/>
        </w:rPr>
        <w:t xml:space="preserve"> עוד לפני השלמת בירור התביעה, על מנת לאפשר בירור סעדים אחרים שנכללו בה. אם ארבל </w:t>
      </w:r>
      <w:proofErr w:type="spellStart"/>
      <w:r>
        <w:rPr>
          <w:rFonts w:ascii="Century" w:hAnsi="Century" w:hint="cs"/>
          <w:rtl/>
        </w:rPr>
        <w:t>וונצ'ר</w:t>
      </w:r>
      <w:proofErr w:type="spellEnd"/>
      <w:r>
        <w:rPr>
          <w:rFonts w:ascii="Century" w:hAnsi="Century" w:hint="cs"/>
          <w:rtl/>
        </w:rPr>
        <w:t xml:space="preserve"> ראו לנכון לדרוש בתביעתם מתן חשבונות, כסעד נפרד ומובחן </w:t>
      </w:r>
      <w:r>
        <w:rPr>
          <w:rFonts w:ascii="Century" w:hAnsi="Century"/>
          <w:rtl/>
        </w:rPr>
        <w:t>–</w:t>
      </w:r>
      <w:r>
        <w:rPr>
          <w:rFonts w:ascii="Century" w:hAnsi="Century" w:hint="cs"/>
          <w:rtl/>
        </w:rPr>
        <w:t xml:space="preserve"> עליהם להתכבד ולנהל את ההליך בהתאם לסדרי הדין, כך שתחילה תוכרע זכאותם לבירור חשבונות.</w:t>
      </w:r>
    </w:p>
    <w:p w14:paraId="591FE63B" w14:textId="77777777" w:rsidR="005C3DB9" w:rsidRDefault="005C3DB9" w:rsidP="00AB1046">
      <w:pPr>
        <w:pStyle w:val="Ruller4"/>
        <w:spacing w:line="240" w:lineRule="auto"/>
        <w:rPr>
          <w:rFonts w:ascii="Century" w:hAnsi="Century"/>
          <w:rtl/>
        </w:rPr>
      </w:pPr>
    </w:p>
    <w:p w14:paraId="37D05B26" w14:textId="77777777" w:rsidR="005C3DB9" w:rsidRDefault="005C3DB9" w:rsidP="00063CA6">
      <w:pPr>
        <w:pStyle w:val="Ruller4"/>
        <w:rPr>
          <w:rFonts w:ascii="Century" w:hAnsi="Century"/>
          <w:rtl/>
        </w:rPr>
      </w:pPr>
      <w:r>
        <w:rPr>
          <w:rFonts w:ascii="Century" w:hAnsi="Century" w:hint="cs"/>
          <w:rtl/>
        </w:rPr>
        <w:t>1</w:t>
      </w:r>
      <w:r w:rsidR="00063CA6">
        <w:rPr>
          <w:rFonts w:ascii="Century" w:hAnsi="Century" w:hint="cs"/>
          <w:rtl/>
        </w:rPr>
        <w:t>4</w:t>
      </w:r>
      <w:r>
        <w:rPr>
          <w:rFonts w:ascii="Century" w:hAnsi="Century" w:hint="cs"/>
          <w:rtl/>
        </w:rPr>
        <w:t>.</w:t>
      </w:r>
      <w:r>
        <w:rPr>
          <w:rFonts w:ascii="Century" w:hAnsi="Century" w:hint="cs"/>
          <w:rtl/>
        </w:rPr>
        <w:tab/>
        <w:t xml:space="preserve">ודוק: לא בכדי מתנהלת תביעה הכוללת סעד של מתן חשבונות בשני שלבים. בראשון </w:t>
      </w:r>
      <w:r>
        <w:rPr>
          <w:rFonts w:ascii="Century" w:hAnsi="Century"/>
          <w:rtl/>
        </w:rPr>
        <w:t>–</w:t>
      </w:r>
      <w:r>
        <w:rPr>
          <w:rFonts w:ascii="Century" w:hAnsi="Century" w:hint="cs"/>
          <w:rtl/>
        </w:rPr>
        <w:t xml:space="preserve"> על התובע להוכיח את זכאותו למתן החשבונות; בשני </w:t>
      </w:r>
      <w:r>
        <w:rPr>
          <w:rFonts w:ascii="Century" w:hAnsi="Century"/>
          <w:rtl/>
        </w:rPr>
        <w:t>–</w:t>
      </w:r>
      <w:r>
        <w:rPr>
          <w:rFonts w:ascii="Century" w:hAnsi="Century" w:hint="cs"/>
          <w:rtl/>
        </w:rPr>
        <w:t xml:space="preserve"> אם ניתנו החשבונות, על התובע להוכיח את זכאותו לסעד כספי מכוחם (עניין </w:t>
      </w:r>
      <w:r w:rsidRPr="001D25E9">
        <w:rPr>
          <w:rFonts w:ascii="Century" w:hAnsi="Century" w:cs="Miriam" w:hint="cs"/>
          <w:b/>
          <w:spacing w:val="0"/>
          <w:szCs w:val="24"/>
          <w:rtl/>
        </w:rPr>
        <w:t>בן שמחון</w:t>
      </w:r>
      <w:r>
        <w:rPr>
          <w:rFonts w:ascii="Century" w:hAnsi="Century" w:hint="cs"/>
          <w:rtl/>
        </w:rPr>
        <w:t xml:space="preserve">, פסקה 6; </w:t>
      </w:r>
      <w:r w:rsidRPr="001D25E9">
        <w:rPr>
          <w:rFonts w:ascii="Century" w:hAnsi="Century"/>
          <w:rtl/>
        </w:rPr>
        <w:t xml:space="preserve">רע"א 1296/14 </w:t>
      </w:r>
      <w:r w:rsidRPr="001D25E9">
        <w:rPr>
          <w:rFonts w:ascii="Century" w:hAnsi="Century" w:cs="Miriam"/>
          <w:b/>
          <w:spacing w:val="0"/>
          <w:szCs w:val="24"/>
          <w:rtl/>
        </w:rPr>
        <w:t>צוקר נ' דוד צוקר ובניו חברה לבניין ולהשקעות בע"מ</w:t>
      </w:r>
      <w:r w:rsidRPr="001D25E9">
        <w:rPr>
          <w:rFonts w:ascii="Century" w:hAnsi="Century"/>
          <w:rtl/>
        </w:rPr>
        <w:t xml:space="preserve"> (</w:t>
      </w:r>
      <w:r>
        <w:rPr>
          <w:rFonts w:ascii="Century" w:hAnsi="Century"/>
          <w:rtl/>
        </w:rPr>
        <w:t>7.</w:t>
      </w:r>
      <w:r w:rsidRPr="001D25E9">
        <w:rPr>
          <w:rFonts w:ascii="Century" w:hAnsi="Century"/>
          <w:rtl/>
        </w:rPr>
        <w:t>5.2014)</w:t>
      </w:r>
      <w:r>
        <w:rPr>
          <w:rFonts w:ascii="Century" w:hAnsi="Century" w:hint="cs"/>
          <w:rtl/>
        </w:rPr>
        <w:t xml:space="preserve">, פסקה 12). גם בענייננו, אם יקבע בהמשך כי ארבל </w:t>
      </w:r>
      <w:proofErr w:type="spellStart"/>
      <w:r>
        <w:rPr>
          <w:rFonts w:ascii="Century" w:hAnsi="Century" w:hint="cs"/>
          <w:rtl/>
        </w:rPr>
        <w:t>וונצ'ר</w:t>
      </w:r>
      <w:proofErr w:type="spellEnd"/>
      <w:r>
        <w:rPr>
          <w:rFonts w:ascii="Century" w:hAnsi="Century" w:hint="cs"/>
          <w:rtl/>
        </w:rPr>
        <w:t xml:space="preserve"> אכן זכאים לסעד של מתן חשבונות, כטענתם </w:t>
      </w:r>
      <w:r>
        <w:rPr>
          <w:rFonts w:ascii="Century" w:hAnsi="Century"/>
          <w:rtl/>
        </w:rPr>
        <w:t>–</w:t>
      </w:r>
      <w:r>
        <w:rPr>
          <w:rFonts w:ascii="Century" w:hAnsi="Century" w:hint="cs"/>
          <w:rtl/>
        </w:rPr>
        <w:t xml:space="preserve"> הרי שיהיו בידיהם המסמכים הדרושים להם להוכחת הסעד הכספי שלו הם זכאים.</w:t>
      </w:r>
    </w:p>
    <w:p w14:paraId="4F4581FE" w14:textId="77777777" w:rsidR="005C3DB9" w:rsidRDefault="005C3DB9" w:rsidP="00AB1046">
      <w:pPr>
        <w:pStyle w:val="Ruller4"/>
        <w:spacing w:line="240" w:lineRule="auto"/>
        <w:rPr>
          <w:rFonts w:ascii="Century" w:hAnsi="Century"/>
          <w:rtl/>
        </w:rPr>
      </w:pPr>
    </w:p>
    <w:p w14:paraId="3898C82A" w14:textId="77777777" w:rsidR="00AB1046" w:rsidRDefault="00AB1046" w:rsidP="005C3DB9">
      <w:pPr>
        <w:pStyle w:val="Ruller4"/>
        <w:rPr>
          <w:rFonts w:ascii="Century" w:hAnsi="Century"/>
          <w:rtl/>
        </w:rPr>
      </w:pPr>
      <w:r>
        <w:rPr>
          <w:rFonts w:ascii="Century" w:hAnsi="Century" w:hint="cs"/>
          <w:rtl/>
        </w:rPr>
        <w:t>15.</w:t>
      </w:r>
      <w:r>
        <w:rPr>
          <w:rFonts w:ascii="Century" w:hAnsi="Century" w:hint="cs"/>
          <w:rtl/>
        </w:rPr>
        <w:tab/>
        <w:t xml:space="preserve">נוכח המסקנה אליה הגעתי, אינני נדרש לטענה כי הצו לגילוי ועיון ניתן באופן לא מידתי ובלתי סביר, בשל היעדר התחייבות של ארבל </w:t>
      </w:r>
      <w:proofErr w:type="spellStart"/>
      <w:r>
        <w:rPr>
          <w:rFonts w:ascii="Century" w:hAnsi="Century" w:hint="cs"/>
          <w:rtl/>
        </w:rPr>
        <w:t>וונצ'ר</w:t>
      </w:r>
      <w:proofErr w:type="spellEnd"/>
      <w:r>
        <w:rPr>
          <w:rFonts w:ascii="Century" w:hAnsi="Century" w:hint="cs"/>
          <w:rtl/>
        </w:rPr>
        <w:t xml:space="preserve"> לשמור על סודיות ביחס למסמכים שיגולו. </w:t>
      </w:r>
    </w:p>
    <w:p w14:paraId="5843B365" w14:textId="77777777" w:rsidR="00AB1046" w:rsidRDefault="00AB1046" w:rsidP="00AB1046">
      <w:pPr>
        <w:pStyle w:val="Ruller4"/>
        <w:spacing w:line="240" w:lineRule="auto"/>
        <w:rPr>
          <w:rFonts w:ascii="Century" w:hAnsi="Century"/>
          <w:rtl/>
        </w:rPr>
      </w:pPr>
    </w:p>
    <w:p w14:paraId="3846161D" w14:textId="77777777" w:rsidR="005C3DB9" w:rsidRDefault="005C3DB9" w:rsidP="00AB1046">
      <w:pPr>
        <w:pStyle w:val="Ruller4"/>
        <w:rPr>
          <w:sz w:val="28"/>
          <w:rtl/>
        </w:rPr>
      </w:pPr>
      <w:r>
        <w:rPr>
          <w:rFonts w:ascii="Century" w:hAnsi="Century" w:hint="cs"/>
          <w:rtl/>
        </w:rPr>
        <w:t>1</w:t>
      </w:r>
      <w:r w:rsidR="00AB1046">
        <w:rPr>
          <w:rFonts w:ascii="Century" w:hAnsi="Century" w:hint="cs"/>
          <w:rtl/>
        </w:rPr>
        <w:t>6</w:t>
      </w:r>
      <w:r>
        <w:rPr>
          <w:rFonts w:ascii="Century" w:hAnsi="Century" w:hint="cs"/>
          <w:rtl/>
        </w:rPr>
        <w:t>.</w:t>
      </w:r>
      <w:r>
        <w:rPr>
          <w:rFonts w:ascii="Century" w:hAnsi="Century" w:hint="cs"/>
          <w:rtl/>
        </w:rPr>
        <w:tab/>
      </w:r>
      <w:r w:rsidRPr="001F1751">
        <w:rPr>
          <w:sz w:val="28"/>
          <w:rtl/>
        </w:rPr>
        <w:t xml:space="preserve">אשר על כן, </w:t>
      </w:r>
      <w:r>
        <w:rPr>
          <w:rFonts w:hint="cs"/>
          <w:sz w:val="28"/>
          <w:rtl/>
        </w:rPr>
        <w:t xml:space="preserve">הערעור מתקבל באופן חלקי: </w:t>
      </w:r>
      <w:r w:rsidRPr="00AA7EE2">
        <w:rPr>
          <w:rFonts w:ascii="Century" w:hAnsi="Century" w:cs="Miriam" w:hint="cs"/>
          <w:b/>
          <w:spacing w:val="0"/>
          <w:szCs w:val="24"/>
          <w:rtl/>
        </w:rPr>
        <w:t>ב</w:t>
      </w:r>
      <w:r>
        <w:rPr>
          <w:rFonts w:ascii="Century" w:hAnsi="Century" w:cs="Miriam" w:hint="cs"/>
          <w:b/>
          <w:spacing w:val="0"/>
          <w:szCs w:val="24"/>
          <w:rtl/>
        </w:rPr>
        <w:t>כל ה</w:t>
      </w:r>
      <w:r w:rsidRPr="00AA7EE2">
        <w:rPr>
          <w:rFonts w:ascii="Century" w:hAnsi="Century" w:cs="Miriam" w:hint="cs"/>
          <w:b/>
          <w:spacing w:val="0"/>
          <w:szCs w:val="24"/>
          <w:rtl/>
        </w:rPr>
        <w:t xml:space="preserve">נוגע לבקשת אמן </w:t>
      </w:r>
      <w:proofErr w:type="spellStart"/>
      <w:r w:rsidRPr="00AA7EE2">
        <w:rPr>
          <w:rFonts w:ascii="Century" w:hAnsi="Century" w:cs="Miriam" w:hint="cs"/>
          <w:b/>
          <w:spacing w:val="0"/>
          <w:szCs w:val="24"/>
          <w:rtl/>
        </w:rPr>
        <w:t>וסולושנס</w:t>
      </w:r>
      <w:proofErr w:type="spellEnd"/>
      <w:r w:rsidRPr="00AA7EE2">
        <w:rPr>
          <w:rFonts w:hint="cs"/>
          <w:sz w:val="28"/>
          <w:rtl/>
        </w:rPr>
        <w:t xml:space="preserve"> </w:t>
      </w:r>
      <w:r>
        <w:rPr>
          <w:sz w:val="28"/>
          <w:rtl/>
        </w:rPr>
        <w:t>–</w:t>
      </w:r>
      <w:r>
        <w:rPr>
          <w:rFonts w:hint="cs"/>
          <w:sz w:val="28"/>
          <w:rtl/>
        </w:rPr>
        <w:t xml:space="preserve"> החלטת בית המשפט המחוזי תיוותר על כנה</w:t>
      </w:r>
      <w:r w:rsidR="00AB1046">
        <w:rPr>
          <w:rFonts w:hint="cs"/>
          <w:sz w:val="28"/>
          <w:rtl/>
        </w:rPr>
        <w:t>;</w:t>
      </w:r>
      <w:r>
        <w:rPr>
          <w:rFonts w:hint="cs"/>
          <w:sz w:val="28"/>
          <w:rtl/>
        </w:rPr>
        <w:t xml:space="preserve"> </w:t>
      </w:r>
      <w:r w:rsidRPr="004D5BC8">
        <w:rPr>
          <w:rFonts w:ascii="Century" w:hAnsi="Century" w:cs="Miriam" w:hint="cs"/>
          <w:b/>
          <w:spacing w:val="0"/>
          <w:szCs w:val="24"/>
          <w:rtl/>
        </w:rPr>
        <w:t>ב</w:t>
      </w:r>
      <w:r>
        <w:rPr>
          <w:rFonts w:ascii="Century" w:hAnsi="Century" w:cs="Miriam" w:hint="cs"/>
          <w:b/>
          <w:spacing w:val="0"/>
          <w:szCs w:val="24"/>
          <w:rtl/>
        </w:rPr>
        <w:t>כל ה</w:t>
      </w:r>
      <w:r w:rsidRPr="004D5BC8">
        <w:rPr>
          <w:rFonts w:ascii="Century" w:hAnsi="Century" w:cs="Miriam" w:hint="cs"/>
          <w:b/>
          <w:spacing w:val="0"/>
          <w:szCs w:val="24"/>
          <w:rtl/>
        </w:rPr>
        <w:t xml:space="preserve">נוגע לבקשת ארבל </w:t>
      </w:r>
      <w:proofErr w:type="spellStart"/>
      <w:r w:rsidRPr="004D5BC8">
        <w:rPr>
          <w:rFonts w:ascii="Century" w:hAnsi="Century" w:cs="Miriam" w:hint="cs"/>
          <w:b/>
          <w:spacing w:val="0"/>
          <w:szCs w:val="24"/>
          <w:rtl/>
        </w:rPr>
        <w:t>וונצ'ר</w:t>
      </w:r>
      <w:proofErr w:type="spellEnd"/>
      <w:r>
        <w:rPr>
          <w:rFonts w:hint="cs"/>
          <w:sz w:val="28"/>
          <w:rtl/>
        </w:rPr>
        <w:t xml:space="preserve"> </w:t>
      </w:r>
      <w:r>
        <w:rPr>
          <w:sz w:val="28"/>
          <w:rtl/>
        </w:rPr>
        <w:t>–</w:t>
      </w:r>
      <w:r w:rsidR="00A90B22">
        <w:rPr>
          <w:rFonts w:hint="cs"/>
          <w:sz w:val="28"/>
          <w:rtl/>
        </w:rPr>
        <w:t xml:space="preserve"> החלטת בית המשפט המחוזי מבוטל</w:t>
      </w:r>
      <w:r w:rsidR="00AB1046">
        <w:rPr>
          <w:rFonts w:hint="cs"/>
          <w:sz w:val="28"/>
          <w:rtl/>
        </w:rPr>
        <w:t>ת</w:t>
      </w:r>
      <w:r w:rsidR="00A90B22">
        <w:rPr>
          <w:rFonts w:hint="cs"/>
          <w:sz w:val="28"/>
          <w:rtl/>
        </w:rPr>
        <w:t>; בקשת ארב</w:t>
      </w:r>
      <w:r w:rsidR="00AB1046">
        <w:rPr>
          <w:rFonts w:hint="cs"/>
          <w:sz w:val="28"/>
          <w:rtl/>
        </w:rPr>
        <w:t>ל</w:t>
      </w:r>
      <w:r w:rsidR="00A90B22">
        <w:rPr>
          <w:rFonts w:hint="cs"/>
          <w:sz w:val="28"/>
          <w:rtl/>
        </w:rPr>
        <w:t xml:space="preserve"> </w:t>
      </w:r>
      <w:proofErr w:type="spellStart"/>
      <w:r w:rsidR="00A90B22">
        <w:rPr>
          <w:rFonts w:hint="cs"/>
          <w:sz w:val="28"/>
          <w:rtl/>
        </w:rPr>
        <w:t>ו</w:t>
      </w:r>
      <w:r w:rsidR="00AB1046">
        <w:rPr>
          <w:rFonts w:hint="cs"/>
          <w:sz w:val="28"/>
          <w:rtl/>
        </w:rPr>
        <w:t>ו</w:t>
      </w:r>
      <w:r w:rsidR="00A90B22">
        <w:rPr>
          <w:rFonts w:hint="cs"/>
          <w:sz w:val="28"/>
          <w:rtl/>
        </w:rPr>
        <w:t>נצ'ר</w:t>
      </w:r>
      <w:proofErr w:type="spellEnd"/>
      <w:r w:rsidR="00A90B22">
        <w:rPr>
          <w:rFonts w:hint="cs"/>
          <w:sz w:val="28"/>
          <w:rtl/>
        </w:rPr>
        <w:t xml:space="preserve"> </w:t>
      </w:r>
      <w:r w:rsidR="00A90B22">
        <w:rPr>
          <w:sz w:val="28"/>
          <w:rtl/>
        </w:rPr>
        <w:t>–</w:t>
      </w:r>
      <w:r w:rsidR="00A90B22">
        <w:rPr>
          <w:rFonts w:hint="cs"/>
          <w:sz w:val="28"/>
          <w:rtl/>
        </w:rPr>
        <w:t xml:space="preserve"> נדחית. </w:t>
      </w:r>
    </w:p>
    <w:p w14:paraId="73CB2A01" w14:textId="77777777" w:rsidR="005C3DB9" w:rsidRDefault="005C3DB9" w:rsidP="005C3DB9">
      <w:pPr>
        <w:pStyle w:val="Ruller4"/>
        <w:rPr>
          <w:sz w:val="28"/>
          <w:rtl/>
        </w:rPr>
      </w:pPr>
      <w:r>
        <w:rPr>
          <w:sz w:val="28"/>
          <w:rtl/>
        </w:rPr>
        <w:tab/>
      </w:r>
    </w:p>
    <w:p w14:paraId="54174F8A" w14:textId="77777777" w:rsidR="005C3DB9" w:rsidRDefault="005C3DB9" w:rsidP="005C3DB9">
      <w:pPr>
        <w:pStyle w:val="Ruller4"/>
        <w:rPr>
          <w:sz w:val="28"/>
          <w:rtl/>
        </w:rPr>
      </w:pPr>
      <w:r>
        <w:rPr>
          <w:sz w:val="28"/>
          <w:rtl/>
        </w:rPr>
        <w:lastRenderedPageBreak/>
        <w:tab/>
      </w:r>
      <w:r>
        <w:rPr>
          <w:rFonts w:hint="cs"/>
          <w:sz w:val="28"/>
          <w:rtl/>
        </w:rPr>
        <w:t>נוכח התוצאה שאליה הגעתי, לא אעשה צו להוצאות.</w:t>
      </w:r>
    </w:p>
    <w:p w14:paraId="1D533F9F" w14:textId="77777777" w:rsidR="00A90B22" w:rsidRDefault="00A90B22" w:rsidP="005C3DB9">
      <w:pPr>
        <w:pStyle w:val="Ruller4"/>
        <w:rPr>
          <w:sz w:val="28"/>
          <w:rtl/>
        </w:rPr>
      </w:pPr>
    </w:p>
    <w:p w14:paraId="1DBC6C1D" w14:textId="77777777" w:rsidR="00A90B22" w:rsidRDefault="00AB1046" w:rsidP="00883E8D">
      <w:pPr>
        <w:pStyle w:val="Ruller4"/>
        <w:rPr>
          <w:sz w:val="28"/>
          <w:rtl/>
        </w:rPr>
      </w:pPr>
      <w:r>
        <w:rPr>
          <w:sz w:val="28"/>
          <w:rtl/>
        </w:rPr>
        <w:tab/>
        <w:t>נית</w:t>
      </w:r>
      <w:r w:rsidR="00335B66">
        <w:rPr>
          <w:rFonts w:hint="cs"/>
          <w:sz w:val="28"/>
          <w:rtl/>
        </w:rPr>
        <w:t xml:space="preserve">ן </w:t>
      </w:r>
      <w:r>
        <w:rPr>
          <w:sz w:val="28"/>
          <w:rtl/>
        </w:rPr>
        <w:t xml:space="preserve">היום, </w:t>
      </w:r>
      <w:r>
        <w:rPr>
          <w:rFonts w:hint="eastAsia"/>
          <w:sz w:val="28"/>
          <w:rtl/>
        </w:rPr>
        <w:t>‏כ</w:t>
      </w:r>
      <w:r>
        <w:rPr>
          <w:sz w:val="28"/>
          <w:rtl/>
        </w:rPr>
        <w:t xml:space="preserve">"ו באלול </w:t>
      </w:r>
      <w:proofErr w:type="spellStart"/>
      <w:r>
        <w:rPr>
          <w:sz w:val="28"/>
          <w:rtl/>
        </w:rPr>
        <w:t>התש"</w:t>
      </w:r>
      <w:r w:rsidR="00883E8D">
        <w:rPr>
          <w:rFonts w:hint="cs"/>
          <w:sz w:val="28"/>
          <w:rtl/>
        </w:rPr>
        <w:t>ף</w:t>
      </w:r>
      <w:proofErr w:type="spellEnd"/>
      <w:r>
        <w:rPr>
          <w:sz w:val="28"/>
          <w:rtl/>
        </w:rPr>
        <w:t xml:space="preserve"> (</w:t>
      </w:r>
      <w:r>
        <w:rPr>
          <w:rFonts w:hint="eastAsia"/>
          <w:sz w:val="28"/>
          <w:rtl/>
        </w:rPr>
        <w:t>‏</w:t>
      </w:r>
      <w:r>
        <w:rPr>
          <w:sz w:val="28"/>
          <w:rtl/>
        </w:rPr>
        <w:t>15.9.2020).</w:t>
      </w:r>
    </w:p>
    <w:p w14:paraId="608C5499" w14:textId="77777777" w:rsidR="00AB1046" w:rsidRDefault="00AB1046" w:rsidP="00AB1046">
      <w:pPr>
        <w:pStyle w:val="Ruller4"/>
        <w:rPr>
          <w:sz w:val="28"/>
          <w:rtl/>
        </w:rPr>
      </w:pPr>
    </w:p>
    <w:p w14:paraId="0296570A" w14:textId="77777777" w:rsidR="00A90B22" w:rsidRPr="003136DD" w:rsidRDefault="00A90B22" w:rsidP="005C3DB9">
      <w:pPr>
        <w:pStyle w:val="Ruller4"/>
        <w:rPr>
          <w:sz w:val="28"/>
          <w:rtl/>
        </w:rPr>
      </w:pPr>
    </w:p>
    <w:p w14:paraId="5C95CBDC" w14:textId="77777777" w:rsidR="00916FF8" w:rsidRPr="00503A3E" w:rsidRDefault="00916FF8" w:rsidP="005C3DB9">
      <w:pPr>
        <w:pStyle w:val="Ruller4"/>
        <w:rPr>
          <w:rFonts w:cs="Miriam"/>
          <w:sz w:val="24"/>
          <w:szCs w:val="24"/>
          <w:u w:val="single"/>
          <w:rtl/>
        </w:rPr>
      </w:pPr>
    </w:p>
    <w:tbl>
      <w:tblPr>
        <w:bidiVisual/>
        <w:tblW w:w="8363" w:type="dxa"/>
        <w:tblLook w:val="01E0" w:firstRow="1" w:lastRow="1" w:firstColumn="1" w:lastColumn="1" w:noHBand="0" w:noVBand="0"/>
      </w:tblPr>
      <w:tblGrid>
        <w:gridCol w:w="2786"/>
        <w:gridCol w:w="2787"/>
        <w:gridCol w:w="2790"/>
      </w:tblGrid>
      <w:tr w:rsidR="001A0164" w14:paraId="65AC56A9" w14:textId="77777777" w:rsidTr="0065558B">
        <w:tc>
          <w:tcPr>
            <w:tcW w:w="2786" w:type="dxa"/>
            <w:shd w:val="clear" w:color="auto" w:fill="auto"/>
          </w:tcPr>
          <w:p w14:paraId="79BA9DB9" w14:textId="77777777" w:rsidR="00016EF1" w:rsidRDefault="00016EF1" w:rsidP="00A51FAE">
            <w:pPr>
              <w:pStyle w:val="Ruller4"/>
              <w:rPr>
                <w:rtl/>
              </w:rPr>
            </w:pPr>
            <w:bookmarkStart w:id="3" w:name="Start_Write"/>
            <w:bookmarkEnd w:id="3"/>
          </w:p>
        </w:tc>
        <w:tc>
          <w:tcPr>
            <w:tcW w:w="2787" w:type="dxa"/>
            <w:shd w:val="clear" w:color="auto" w:fill="auto"/>
          </w:tcPr>
          <w:p w14:paraId="0741BB25" w14:textId="77777777" w:rsidR="001A0164" w:rsidRDefault="001A0164" w:rsidP="00BA0B08">
            <w:pPr>
              <w:pStyle w:val="Ruller4"/>
              <w:jc w:val="center"/>
              <w:rPr>
                <w:rtl/>
              </w:rPr>
            </w:pPr>
          </w:p>
        </w:tc>
        <w:tc>
          <w:tcPr>
            <w:tcW w:w="2790" w:type="dxa"/>
            <w:shd w:val="clear" w:color="auto" w:fill="auto"/>
          </w:tcPr>
          <w:p w14:paraId="7FB53482" w14:textId="77777777" w:rsidR="001A0164" w:rsidRDefault="005A6F06" w:rsidP="00BA0B08">
            <w:pPr>
              <w:pStyle w:val="Ruller4"/>
              <w:jc w:val="center"/>
              <w:rPr>
                <w:rtl/>
              </w:rPr>
            </w:pPr>
            <w:r>
              <w:rPr>
                <w:rtl/>
              </w:rPr>
              <w:t>ש ו פ ט</w:t>
            </w:r>
          </w:p>
        </w:tc>
      </w:tr>
    </w:tbl>
    <w:p w14:paraId="1F857FEB" w14:textId="77777777" w:rsidR="00044953" w:rsidRDefault="00044953" w:rsidP="00A51FAE">
      <w:pPr>
        <w:pStyle w:val="Ruller4"/>
        <w:rPr>
          <w:rtl/>
        </w:rPr>
      </w:pPr>
    </w:p>
    <w:p w14:paraId="5F890AC6" w14:textId="77777777" w:rsidR="00916FF8" w:rsidRDefault="00916FF8">
      <w:pPr>
        <w:rPr>
          <w:szCs w:val="16"/>
          <w:rtl/>
        </w:rPr>
      </w:pPr>
      <w:r>
        <w:rPr>
          <w:szCs w:val="16"/>
          <w:rtl/>
        </w:rPr>
        <w:t>_________________</w:t>
      </w:r>
      <w:r w:rsidR="00A12E0F">
        <w:rPr>
          <w:rFonts w:hint="cs"/>
          <w:szCs w:val="16"/>
          <w:rtl/>
        </w:rPr>
        <w:t>________</w:t>
      </w:r>
    </w:p>
    <w:p w14:paraId="276F34CF" w14:textId="77777777" w:rsidR="00916FF8" w:rsidRDefault="00591983" w:rsidP="00B009CC">
      <w:pPr>
        <w:pStyle w:val="Ruller38"/>
        <w:rPr>
          <w:rtl/>
        </w:rPr>
      </w:pPr>
      <w:r>
        <w:rPr>
          <w:sz w:val="16"/>
        </w:rPr>
        <w:t xml:space="preserve"> </w:t>
      </w:r>
      <w:r w:rsidR="00A12E0F">
        <w:rPr>
          <w:sz w:val="16"/>
        </w:rPr>
        <w:t xml:space="preserve">  </w:t>
      </w:r>
      <w:r w:rsidR="005A6F06">
        <w:rPr>
          <w:sz w:val="16"/>
        </w:rPr>
        <w:t xml:space="preserve">20028040_O02.docx   </w:t>
      </w:r>
      <w:proofErr w:type="spellStart"/>
      <w:r w:rsidR="005A6F06">
        <w:rPr>
          <w:sz w:val="16"/>
          <w:rtl/>
        </w:rPr>
        <w:t>שצ</w:t>
      </w:r>
      <w:proofErr w:type="spellEnd"/>
    </w:p>
    <w:p w14:paraId="7049ABBC" w14:textId="77777777" w:rsidR="00591983" w:rsidRPr="0058440A" w:rsidRDefault="00591983" w:rsidP="0058440A">
      <w:pPr>
        <w:pStyle w:val="Ruller38"/>
        <w:rPr>
          <w:rtl/>
        </w:rPr>
      </w:pPr>
      <w:r>
        <w:rPr>
          <w:rtl/>
        </w:rPr>
        <w:t>מרכז מידע, טל'</w:t>
      </w:r>
      <w:r>
        <w:rPr>
          <w:rFonts w:hint="cs"/>
          <w:rtl/>
        </w:rPr>
        <w:t xml:space="preserve"> </w:t>
      </w:r>
      <w:r w:rsidR="00B63343">
        <w:rPr>
          <w:rFonts w:hint="cs"/>
          <w:rtl/>
        </w:rPr>
        <w:t>077</w:t>
      </w:r>
      <w:r>
        <w:rPr>
          <w:rFonts w:hint="cs"/>
          <w:rtl/>
        </w:rPr>
        <w:t>-</w:t>
      </w:r>
      <w:r w:rsidR="00B63343">
        <w:rPr>
          <w:rFonts w:hint="cs"/>
          <w:rtl/>
        </w:rPr>
        <w:t>270</w:t>
      </w:r>
      <w:r w:rsidR="00E21CA9">
        <w:rPr>
          <w:rFonts w:hint="cs"/>
          <w:rtl/>
        </w:rPr>
        <w:t>3</w:t>
      </w:r>
      <w:r w:rsidR="009B38DA">
        <w:rPr>
          <w:rFonts w:hint="cs"/>
          <w:rtl/>
        </w:rPr>
        <w:t>333</w:t>
      </w:r>
      <w:r w:rsidR="00866D0F">
        <w:rPr>
          <w:rFonts w:hint="cs"/>
          <w:rtl/>
        </w:rPr>
        <w:t>, 3852*</w:t>
      </w:r>
      <w:r>
        <w:rPr>
          <w:rFonts w:hint="cs"/>
          <w:rtl/>
        </w:rPr>
        <w:t xml:space="preserve"> ; אתר אינטרנט,  </w:t>
      </w:r>
      <w:hyperlink r:id="rId8" w:history="1">
        <w:r w:rsidR="0058440A" w:rsidRPr="00CB1590">
          <w:rPr>
            <w:rStyle w:val="Hyperlink"/>
            <w:sz w:val="16"/>
          </w:rPr>
          <w:t>http://supreme.court.gov.i</w:t>
        </w:r>
      </w:hyperlink>
      <w:r w:rsidR="0058440A" w:rsidRPr="00CB1590">
        <w:rPr>
          <w:sz w:val="16"/>
        </w:rPr>
        <w:t>l</w:t>
      </w:r>
    </w:p>
    <w:p w14:paraId="554E3086" w14:textId="77777777" w:rsidR="003F1F97" w:rsidRDefault="003F1F97" w:rsidP="00591983">
      <w:pPr>
        <w:pStyle w:val="Ruller38"/>
        <w:rPr>
          <w:rtl/>
        </w:rPr>
      </w:pPr>
    </w:p>
    <w:sectPr w:rsidR="003F1F97" w:rsidSect="00591983">
      <w:headerReference w:type="even" r:id="rId9"/>
      <w:headerReference w:type="default" r:id="rId10"/>
      <w:footerReference w:type="even" r:id="rId11"/>
      <w:footerReference w:type="default" r:id="rId12"/>
      <w:headerReference w:type="first" r:id="rId13"/>
      <w:footerReference w:type="first" r:id="rId14"/>
      <w:endnotePr>
        <w:numFmt w:val="lowerLetter"/>
      </w:endnotePr>
      <w:pgSz w:w="11906" w:h="16838" w:code="9"/>
      <w:pgMar w:top="1134" w:right="1797" w:bottom="1440" w:left="1797" w:header="567" w:footer="397" w:gutter="0"/>
      <w:cols w:space="720"/>
      <w:titlePg/>
      <w:bidi/>
      <w:rtlGutter/>
    </w:sectPr>
  </w:body>
</w:document>
</file>

<file path=word/customizations.xml><?xml version="1.0" encoding="utf-8"?>
<wne:tcg xmlns:r="http://schemas.openxmlformats.org/officeDocument/2006/relationships" xmlns:wne="http://schemas.microsoft.com/office/word/2006/wordml">
  <wne:keymaps>
    <wne:keymap wne:kcmPrimary="0433">
      <wne:acd wne:acdName="acd0"/>
    </wne:keymap>
    <wne:keymap wne:kcmPrimary="0434">
      <wne:acd wne:acdName="acd1"/>
    </wne:keymap>
    <wne:keymap wne:kcmPrimary="0435">
      <wne:acd wne:acdName="acd2"/>
    </wne:keymap>
  </wne:keymaps>
  <wne:toolbars>
    <wne:acdManifest>
      <wne:acdEntry wne:acdName="acd0"/>
      <wne:acdEntry wne:acdName="acd1"/>
      <wne:acdEntry wne:acdName="acd2"/>
    </wne:acdManifest>
    <wne:toolbarData r:id="rId1"/>
  </wne:toolbars>
  <wne:acds>
    <wne:acd wne:argValue="AgBSAHUAbABsAGUAcgAgADMA" wne:acdName="acd0" wne:fciIndexBasedOn="0065"/>
    <wne:acd wne:argValue="AgBSAHUAbABsAGUAcgA0AA==" wne:acdName="acd1" wne:fciIndexBasedOn="0065"/>
    <wne:acd wne:argValue="AgBSAHUAbABsAGUAcgA1A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46503" w14:textId="77777777" w:rsidR="00F1250F" w:rsidRDefault="00F1250F">
      <w:r>
        <w:separator/>
      </w:r>
    </w:p>
  </w:endnote>
  <w:endnote w:type="continuationSeparator" w:id="0">
    <w:p w14:paraId="2FE72B07" w14:textId="77777777" w:rsidR="00F1250F" w:rsidRDefault="00F12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TUR">
    <w:altName w:val="Arial"/>
    <w:charset w:val="00"/>
    <w:family w:val="swiss"/>
    <w:pitch w:val="variable"/>
    <w:sig w:usb0="E0002EFF" w:usb1="C000785B" w:usb2="00000009" w:usb3="00000000" w:csb0="000001FF" w:csb1="00000000"/>
  </w:font>
  <w:font w:name="DavidFix">
    <w:charset w:val="B1"/>
    <w:family w:val="auto"/>
    <w:pitch w:val="variable"/>
    <w:sig w:usb0="00001801" w:usb1="00000000" w:usb2="00000000" w:usb3="00000000" w:csb0="00000020" w:csb1="00000000"/>
  </w:font>
  <w:font w:name="Guttman Yad">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B2B6A" w14:textId="77777777" w:rsidR="00377102" w:rsidRDefault="00377102">
    <w:pPr>
      <w:pStyle w:val="a3"/>
      <w:framePr w:wrap="around" w:vAnchor="text" w:hAnchor="margin" w:xAlign="center" w:y="1"/>
      <w:rPr>
        <w:rStyle w:val="a4"/>
        <w:rtl/>
      </w:rPr>
    </w:pPr>
    <w:r>
      <w:rPr>
        <w:rStyle w:val="a4"/>
        <w:rtl/>
      </w:rPr>
      <w:fldChar w:fldCharType="begin"/>
    </w:r>
    <w:r>
      <w:rPr>
        <w:rStyle w:val="a4"/>
      </w:rPr>
      <w:instrText xml:space="preserve">PAGE  </w:instrText>
    </w:r>
    <w:r>
      <w:rPr>
        <w:rStyle w:val="a4"/>
        <w:rtl/>
      </w:rPr>
      <w:fldChar w:fldCharType="separate"/>
    </w:r>
    <w:r w:rsidR="00BC0E82">
      <w:rPr>
        <w:rStyle w:val="a4"/>
        <w:noProof/>
        <w:rtl/>
      </w:rPr>
      <w:t>1</w:t>
    </w:r>
    <w:r>
      <w:rPr>
        <w:rStyle w:val="a4"/>
        <w:rtl/>
      </w:rPr>
      <w:fldChar w:fldCharType="end"/>
    </w:r>
  </w:p>
  <w:p w14:paraId="7E0D5845" w14:textId="77777777" w:rsidR="00377102" w:rsidRDefault="00377102">
    <w:pPr>
      <w:pStyle w:val="a3"/>
      <w:rPr>
        <w:rtl/>
      </w:rPr>
    </w:pPr>
  </w:p>
  <w:p w14:paraId="61005C4E" w14:textId="77777777" w:rsidR="00377102" w:rsidRDefault="0037710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293E6" w14:textId="77777777" w:rsidR="005A6F06" w:rsidRDefault="005A6F06">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61E74" w14:textId="77777777" w:rsidR="00045B4D" w:rsidRPr="00F959DB" w:rsidRDefault="00045B4D" w:rsidP="00914156">
    <w:pPr>
      <w:pStyle w:val="a3"/>
      <w:bidi w:val="0"/>
      <w:jc w:val="right"/>
      <w:rPr>
        <w:sz w:val="16"/>
        <w:szCs w:val="16"/>
      </w:rPr>
    </w:pPr>
    <w:bookmarkStart w:id="4" w:name="footer_line"/>
    <w:bookmarkEnd w:id="4"/>
  </w:p>
  <w:p w14:paraId="6E1B3D97" w14:textId="77777777" w:rsidR="00045B4D" w:rsidRDefault="00045B4D">
    <w:pPr>
      <w:pStyle w:val="a3"/>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CBE8C" w14:textId="77777777" w:rsidR="00F1250F" w:rsidRDefault="00F1250F">
      <w:r>
        <w:separator/>
      </w:r>
    </w:p>
  </w:footnote>
  <w:footnote w:type="continuationSeparator" w:id="0">
    <w:p w14:paraId="704D48F0" w14:textId="77777777" w:rsidR="00F1250F" w:rsidRDefault="00F12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28CD3" w14:textId="77777777" w:rsidR="00377102" w:rsidRDefault="00377102">
    <w:pPr>
      <w:pStyle w:val="a5"/>
      <w:framePr w:wrap="around" w:vAnchor="text" w:hAnchor="margin" w:xAlign="center" w:y="1"/>
      <w:rPr>
        <w:rStyle w:val="a4"/>
        <w:rtl/>
      </w:rPr>
    </w:pPr>
    <w:r>
      <w:rPr>
        <w:rStyle w:val="a4"/>
        <w:rtl/>
      </w:rPr>
      <w:fldChar w:fldCharType="begin"/>
    </w:r>
    <w:r>
      <w:rPr>
        <w:rStyle w:val="a4"/>
      </w:rPr>
      <w:instrText xml:space="preserve">PAGE  </w:instrText>
    </w:r>
    <w:r>
      <w:rPr>
        <w:rStyle w:val="a4"/>
        <w:rtl/>
      </w:rPr>
      <w:fldChar w:fldCharType="separate"/>
    </w:r>
    <w:r w:rsidR="00BC0E82">
      <w:rPr>
        <w:rStyle w:val="a4"/>
        <w:noProof/>
        <w:rtl/>
      </w:rPr>
      <w:t>1</w:t>
    </w:r>
    <w:r>
      <w:rPr>
        <w:rStyle w:val="a4"/>
        <w:rtl/>
      </w:rPr>
      <w:fldChar w:fldCharType="end"/>
    </w:r>
  </w:p>
  <w:p w14:paraId="031164AE" w14:textId="77777777" w:rsidR="00377102" w:rsidRDefault="00377102">
    <w:pPr>
      <w:pStyle w:val="a5"/>
      <w:rPr>
        <w:rtl/>
      </w:rPr>
    </w:pPr>
  </w:p>
  <w:p w14:paraId="4D501B83" w14:textId="77777777" w:rsidR="00377102" w:rsidRDefault="003771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414DD" w14:textId="77777777" w:rsidR="00377102" w:rsidRDefault="00377102">
    <w:pPr>
      <w:pStyle w:val="a5"/>
      <w:framePr w:wrap="around" w:vAnchor="text" w:hAnchor="margin" w:xAlign="center" w:y="1"/>
      <w:rPr>
        <w:rStyle w:val="a4"/>
        <w:rtl/>
      </w:rPr>
    </w:pPr>
    <w:r>
      <w:rPr>
        <w:rStyle w:val="a4"/>
        <w:rtl/>
      </w:rPr>
      <w:fldChar w:fldCharType="begin"/>
    </w:r>
    <w:r>
      <w:rPr>
        <w:rStyle w:val="a4"/>
      </w:rPr>
      <w:instrText xml:space="preserve">PAGE  </w:instrText>
    </w:r>
    <w:r>
      <w:rPr>
        <w:rStyle w:val="a4"/>
        <w:rtl/>
      </w:rPr>
      <w:fldChar w:fldCharType="separate"/>
    </w:r>
    <w:r w:rsidR="00883E8D">
      <w:rPr>
        <w:rStyle w:val="a4"/>
        <w:noProof/>
        <w:rtl/>
      </w:rPr>
      <w:t>6</w:t>
    </w:r>
    <w:r>
      <w:rPr>
        <w:rStyle w:val="a4"/>
        <w:rtl/>
      </w:rPr>
      <w:fldChar w:fldCharType="end"/>
    </w:r>
  </w:p>
  <w:p w14:paraId="54612B90" w14:textId="77777777" w:rsidR="00377102" w:rsidRDefault="00377102">
    <w:pPr>
      <w:pStyle w:val="a5"/>
      <w:rPr>
        <w:rtl/>
      </w:rPr>
    </w:pPr>
  </w:p>
  <w:p w14:paraId="2ED125E1" w14:textId="77777777" w:rsidR="00377102" w:rsidRDefault="0037710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8363" w:type="dxa"/>
      <w:tblLook w:val="0000" w:firstRow="0" w:lastRow="0" w:firstColumn="0" w:lastColumn="0" w:noHBand="0" w:noVBand="0"/>
    </w:tblPr>
    <w:tblGrid>
      <w:gridCol w:w="8363"/>
    </w:tblGrid>
    <w:tr w:rsidR="00045B4D" w14:paraId="06E454FA" w14:textId="77777777" w:rsidTr="00EC23AC">
      <w:trPr>
        <w:trHeight w:val="342"/>
      </w:trPr>
      <w:tc>
        <w:tcPr>
          <w:tcW w:w="9828" w:type="dxa"/>
        </w:tcPr>
        <w:p w14:paraId="79387B6F" w14:textId="77777777" w:rsidR="00377102" w:rsidRPr="002F7BB6" w:rsidRDefault="00EE3810" w:rsidP="00045B4D">
          <w:pPr>
            <w:pStyle w:val="Casenameintextbody"/>
            <w:jc w:val="center"/>
            <w:rPr>
              <w:u w:val="none"/>
              <w:rtl/>
            </w:rPr>
          </w:pPr>
          <w:r w:rsidRPr="002F7BB6">
            <w:rPr>
              <w:noProof/>
              <w:sz w:val="16"/>
              <w:szCs w:val="18"/>
              <w:u w:val="none"/>
              <w:rtl/>
            </w:rPr>
            <w:drawing>
              <wp:inline distT="0" distB="0" distL="0" distR="0" wp14:anchorId="3D583B47" wp14:editId="7CE6E4FC">
                <wp:extent cx="464820" cy="449580"/>
                <wp:effectExtent l="0" t="0" r="0" b="762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449580"/>
                        </a:xfrm>
                        <a:prstGeom prst="rect">
                          <a:avLst/>
                        </a:prstGeom>
                        <a:noFill/>
                        <a:ln>
                          <a:noFill/>
                        </a:ln>
                      </pic:spPr>
                    </pic:pic>
                  </a:graphicData>
                </a:graphic>
              </wp:inline>
            </w:drawing>
          </w:r>
        </w:p>
      </w:tc>
    </w:tr>
  </w:tbl>
  <w:p w14:paraId="009CB3D8" w14:textId="77777777" w:rsidR="00045B4D" w:rsidRDefault="00045B4D" w:rsidP="00045B4D">
    <w:pPr>
      <w:pStyle w:val="a5"/>
      <w:jc w:val="cent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77A4F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B8E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485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3003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0465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CCE6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0264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1A09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046C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800B84"/>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lowerLette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227"/>
    <w:rsid w:val="00016EF1"/>
    <w:rsid w:val="00032036"/>
    <w:rsid w:val="00036227"/>
    <w:rsid w:val="00044953"/>
    <w:rsid w:val="00045B4D"/>
    <w:rsid w:val="00063CA6"/>
    <w:rsid w:val="000725F5"/>
    <w:rsid w:val="00072AD2"/>
    <w:rsid w:val="000B1478"/>
    <w:rsid w:val="000C4690"/>
    <w:rsid w:val="000D25C4"/>
    <w:rsid w:val="00134A67"/>
    <w:rsid w:val="001A0164"/>
    <w:rsid w:val="00200D6B"/>
    <w:rsid w:val="00256250"/>
    <w:rsid w:val="00265F6E"/>
    <w:rsid w:val="002876BF"/>
    <w:rsid w:val="002A4A7A"/>
    <w:rsid w:val="002A4BF3"/>
    <w:rsid w:val="002B23C0"/>
    <w:rsid w:val="002F7BB6"/>
    <w:rsid w:val="00331A58"/>
    <w:rsid w:val="00335B66"/>
    <w:rsid w:val="003448B2"/>
    <w:rsid w:val="00361DB2"/>
    <w:rsid w:val="0037622E"/>
    <w:rsid w:val="00377102"/>
    <w:rsid w:val="0039709B"/>
    <w:rsid w:val="003D72DA"/>
    <w:rsid w:val="003F1F97"/>
    <w:rsid w:val="0041048F"/>
    <w:rsid w:val="00437D59"/>
    <w:rsid w:val="004610A4"/>
    <w:rsid w:val="004B29FF"/>
    <w:rsid w:val="004C7868"/>
    <w:rsid w:val="00503A3E"/>
    <w:rsid w:val="00527F02"/>
    <w:rsid w:val="005803E2"/>
    <w:rsid w:val="0058440A"/>
    <w:rsid w:val="00591983"/>
    <w:rsid w:val="005A6F06"/>
    <w:rsid w:val="005C3DB9"/>
    <w:rsid w:val="0061475C"/>
    <w:rsid w:val="00624A42"/>
    <w:rsid w:val="0065522F"/>
    <w:rsid w:val="0065558B"/>
    <w:rsid w:val="006A30F7"/>
    <w:rsid w:val="006C42AD"/>
    <w:rsid w:val="00725345"/>
    <w:rsid w:val="00741CC0"/>
    <w:rsid w:val="007B512F"/>
    <w:rsid w:val="007F7512"/>
    <w:rsid w:val="00810894"/>
    <w:rsid w:val="008143AB"/>
    <w:rsid w:val="0083345F"/>
    <w:rsid w:val="00836667"/>
    <w:rsid w:val="00866D0F"/>
    <w:rsid w:val="00883E8D"/>
    <w:rsid w:val="008C2F11"/>
    <w:rsid w:val="008D78B9"/>
    <w:rsid w:val="008E3F85"/>
    <w:rsid w:val="009051E8"/>
    <w:rsid w:val="00914156"/>
    <w:rsid w:val="00916FF8"/>
    <w:rsid w:val="00922093"/>
    <w:rsid w:val="00930C85"/>
    <w:rsid w:val="00945DA8"/>
    <w:rsid w:val="009B38DA"/>
    <w:rsid w:val="009F2F53"/>
    <w:rsid w:val="009F4187"/>
    <w:rsid w:val="00A12E0F"/>
    <w:rsid w:val="00A51FAE"/>
    <w:rsid w:val="00A80845"/>
    <w:rsid w:val="00A90B22"/>
    <w:rsid w:val="00AA7193"/>
    <w:rsid w:val="00AB1046"/>
    <w:rsid w:val="00AB69F7"/>
    <w:rsid w:val="00AD097B"/>
    <w:rsid w:val="00AD64B9"/>
    <w:rsid w:val="00AE022B"/>
    <w:rsid w:val="00B009CC"/>
    <w:rsid w:val="00B0782A"/>
    <w:rsid w:val="00B62B8C"/>
    <w:rsid w:val="00B63343"/>
    <w:rsid w:val="00B8070D"/>
    <w:rsid w:val="00B87FF7"/>
    <w:rsid w:val="00BA0B08"/>
    <w:rsid w:val="00BC0E82"/>
    <w:rsid w:val="00BD40F9"/>
    <w:rsid w:val="00C41C86"/>
    <w:rsid w:val="00C63A6C"/>
    <w:rsid w:val="00CA13AF"/>
    <w:rsid w:val="00CA1444"/>
    <w:rsid w:val="00CB1590"/>
    <w:rsid w:val="00CB7600"/>
    <w:rsid w:val="00CC0E9D"/>
    <w:rsid w:val="00CC3639"/>
    <w:rsid w:val="00D00B1D"/>
    <w:rsid w:val="00D00CB7"/>
    <w:rsid w:val="00D25F16"/>
    <w:rsid w:val="00DA629E"/>
    <w:rsid w:val="00DC60E8"/>
    <w:rsid w:val="00E21CA9"/>
    <w:rsid w:val="00E31063"/>
    <w:rsid w:val="00E36FE9"/>
    <w:rsid w:val="00E73E98"/>
    <w:rsid w:val="00E75223"/>
    <w:rsid w:val="00E90D72"/>
    <w:rsid w:val="00EA0BE1"/>
    <w:rsid w:val="00EC23AC"/>
    <w:rsid w:val="00EC2992"/>
    <w:rsid w:val="00ED46A4"/>
    <w:rsid w:val="00ED6FD9"/>
    <w:rsid w:val="00EE3810"/>
    <w:rsid w:val="00F1250F"/>
    <w:rsid w:val="00F63C3B"/>
    <w:rsid w:val="00F959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A7C139"/>
  <w15:chartTrackingRefBased/>
  <w15:docId w15:val="{DF9130D9-07B8-492B-BB13-7F5592CD7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bidi/>
      <w:adjustRightInd w:val="0"/>
      <w:textAlignment w:val="baseline"/>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uller3">
    <w:name w:val="Ruller 3"/>
    <w:basedOn w:val="a"/>
    <w:rsid w:val="00A51FAE"/>
    <w:pPr>
      <w:tabs>
        <w:tab w:val="left" w:pos="3210"/>
        <w:tab w:val="left" w:pos="6753"/>
      </w:tabs>
      <w:spacing w:line="360" w:lineRule="auto"/>
    </w:pPr>
    <w:rPr>
      <w:rFonts w:cs="FrankRuehl"/>
      <w:spacing w:val="10"/>
      <w:sz w:val="22"/>
      <w:szCs w:val="28"/>
    </w:rPr>
  </w:style>
  <w:style w:type="paragraph" w:customStyle="1" w:styleId="Pskdinhead">
    <w:name w:val="Pskdin head"/>
    <w:basedOn w:val="a"/>
    <w:pPr>
      <w:spacing w:line="360" w:lineRule="auto"/>
    </w:pPr>
    <w:rPr>
      <w:b/>
      <w:bCs/>
      <w:u w:val="single"/>
    </w:rPr>
  </w:style>
  <w:style w:type="paragraph" w:customStyle="1" w:styleId="FileNumber">
    <w:name w:val="File Number"/>
    <w:basedOn w:val="a"/>
    <w:pPr>
      <w:spacing w:line="360" w:lineRule="auto"/>
      <w:jc w:val="right"/>
    </w:pPr>
    <w:rPr>
      <w:bCs/>
    </w:rPr>
  </w:style>
  <w:style w:type="paragraph" w:customStyle="1" w:styleId="FirstpagestylePsakdin">
    <w:name w:val="First page style Psak din"/>
    <w:basedOn w:val="Ruller3"/>
    <w:pPr>
      <w:tabs>
        <w:tab w:val="clear" w:pos="3210"/>
        <w:tab w:val="left" w:pos="3209"/>
      </w:tabs>
    </w:pPr>
    <w:rPr>
      <w:bCs/>
    </w:rPr>
  </w:style>
  <w:style w:type="paragraph" w:customStyle="1" w:styleId="TyutaDate">
    <w:name w:val="Tyuta Date"/>
    <w:basedOn w:val="a"/>
    <w:pPr>
      <w:jc w:val="center"/>
    </w:pPr>
    <w:rPr>
      <w:b/>
      <w:bCs/>
      <w:i/>
      <w:iCs/>
      <w:sz w:val="28"/>
      <w:szCs w:val="28"/>
    </w:rPr>
  </w:style>
  <w:style w:type="paragraph" w:customStyle="1" w:styleId="DocumentHead">
    <w:name w:val="Document Head"/>
    <w:basedOn w:val="a"/>
    <w:pPr>
      <w:spacing w:line="360" w:lineRule="auto"/>
      <w:jc w:val="center"/>
    </w:pPr>
    <w:rPr>
      <w:bCs/>
      <w:spacing w:val="30"/>
      <w:szCs w:val="28"/>
      <w:u w:val="single"/>
    </w:rPr>
  </w:style>
  <w:style w:type="paragraph" w:customStyle="1" w:styleId="TfutzaList">
    <w:name w:val="Tfutza List"/>
    <w:basedOn w:val="a"/>
    <w:rPr>
      <w:i/>
      <w:iCs/>
    </w:rPr>
  </w:style>
  <w:style w:type="paragraph" w:customStyle="1" w:styleId="Ruller4">
    <w:name w:val="Ruller4"/>
    <w:basedOn w:val="a"/>
    <w:link w:val="Ruller40"/>
    <w:rsid w:val="00A51FAE"/>
    <w:pPr>
      <w:tabs>
        <w:tab w:val="left" w:pos="800"/>
      </w:tabs>
      <w:spacing w:line="360" w:lineRule="auto"/>
      <w:jc w:val="both"/>
    </w:pPr>
    <w:rPr>
      <w:rFonts w:ascii="Arial TUR" w:hAnsi="Arial TUR" w:cs="FrankRuehl"/>
      <w:spacing w:val="10"/>
      <w:sz w:val="22"/>
      <w:szCs w:val="28"/>
    </w:rPr>
  </w:style>
  <w:style w:type="paragraph" w:customStyle="1" w:styleId="Ruller5">
    <w:name w:val="Ruller5"/>
    <w:basedOn w:val="a"/>
    <w:rsid w:val="00A51FAE"/>
    <w:pPr>
      <w:ind w:left="1642" w:right="1282"/>
      <w:jc w:val="both"/>
    </w:pPr>
    <w:rPr>
      <w:rFonts w:ascii="Arial TUR" w:hAnsi="Arial TUR" w:cs="FrankRuehl"/>
      <w:spacing w:val="10"/>
      <w:sz w:val="22"/>
      <w:szCs w:val="28"/>
    </w:rPr>
  </w:style>
  <w:style w:type="paragraph" w:customStyle="1" w:styleId="Ruller6">
    <w:name w:val="Ruller6"/>
    <w:basedOn w:val="a"/>
    <w:rsid w:val="00A51FAE"/>
    <w:pPr>
      <w:tabs>
        <w:tab w:val="left" w:pos="794"/>
        <w:tab w:val="left" w:pos="2268"/>
        <w:tab w:val="left" w:pos="5783"/>
        <w:tab w:val="left" w:pos="7371"/>
      </w:tabs>
    </w:pPr>
    <w:rPr>
      <w:rFonts w:ascii="Arial TUR" w:hAnsi="Arial TUR" w:cs="DavidFix"/>
      <w:spacing w:val="10"/>
      <w:sz w:val="22"/>
      <w:szCs w:val="20"/>
    </w:rPr>
  </w:style>
  <w:style w:type="character" w:customStyle="1" w:styleId="Delete">
    <w:name w:val="Delete"/>
    <w:rPr>
      <w:strike/>
    </w:rPr>
  </w:style>
  <w:style w:type="paragraph" w:customStyle="1" w:styleId="WriterName">
    <w:name w:val="Writer Name"/>
    <w:basedOn w:val="Ruller4"/>
    <w:next w:val="Ruller4"/>
    <w:rPr>
      <w:rFonts w:cs="David"/>
      <w:b/>
      <w:bCs/>
      <w:u w:val="single"/>
    </w:rPr>
  </w:style>
  <w:style w:type="character" w:customStyle="1" w:styleId="Hand">
    <w:name w:val="Hand"/>
    <w:rPr>
      <w:rFonts w:cs="Guttman Yad"/>
    </w:rPr>
  </w:style>
  <w:style w:type="paragraph" w:styleId="a3">
    <w:name w:val="footer"/>
    <w:basedOn w:val="a"/>
    <w:pPr>
      <w:tabs>
        <w:tab w:val="center" w:pos="4153"/>
        <w:tab w:val="right" w:pos="8306"/>
      </w:tabs>
    </w:pPr>
  </w:style>
  <w:style w:type="character" w:styleId="a4">
    <w:name w:val="page number"/>
    <w:basedOn w:val="a0"/>
  </w:style>
  <w:style w:type="paragraph" w:styleId="a5">
    <w:name w:val="header"/>
    <w:basedOn w:val="a"/>
    <w:pPr>
      <w:tabs>
        <w:tab w:val="center" w:pos="4153"/>
        <w:tab w:val="right" w:pos="8306"/>
      </w:tabs>
    </w:pPr>
  </w:style>
  <w:style w:type="paragraph" w:customStyle="1" w:styleId="2">
    <w:name w:val="ñâðåï2"/>
    <w:basedOn w:val="a"/>
    <w:pPr>
      <w:overflowPunct/>
      <w:textAlignment w:val="auto"/>
    </w:pPr>
    <w:rPr>
      <w:rFonts w:cs="Times New Roman"/>
    </w:rPr>
  </w:style>
  <w:style w:type="paragraph" w:customStyle="1" w:styleId="Casenameintextbody">
    <w:name w:val="Case name in text body"/>
    <w:basedOn w:val="a"/>
    <w:pPr>
      <w:overflowPunct/>
      <w:jc w:val="right"/>
      <w:textAlignment w:val="auto"/>
    </w:pPr>
    <w:rPr>
      <w:rFonts w:cs="Times New Roman"/>
      <w:b/>
      <w:bCs/>
      <w:u w:val="single"/>
    </w:rPr>
  </w:style>
  <w:style w:type="paragraph" w:customStyle="1" w:styleId="precasestyle">
    <w:name w:val="pre_case style"/>
    <w:basedOn w:val="a"/>
    <w:pPr>
      <w:tabs>
        <w:tab w:val="left" w:pos="2552"/>
      </w:tabs>
      <w:overflowPunct/>
      <w:ind w:right="2549"/>
      <w:textAlignment w:val="auto"/>
    </w:pPr>
    <w:rPr>
      <w:rFonts w:cs="Times New Roman"/>
    </w:rPr>
  </w:style>
  <w:style w:type="paragraph" w:customStyle="1" w:styleId="BodyRuller">
    <w:name w:val="Body Ruller"/>
    <w:basedOn w:val="a"/>
    <w:rPr>
      <w:sz w:val="22"/>
      <w:szCs w:val="28"/>
    </w:rPr>
  </w:style>
  <w:style w:type="paragraph" w:customStyle="1" w:styleId="Ruller38">
    <w:name w:val="סגנון Ruller 3 + (מורכב) ‏8 נק"/>
    <w:basedOn w:val="BodyRuller"/>
    <w:rPr>
      <w:szCs w:val="16"/>
    </w:rPr>
  </w:style>
  <w:style w:type="character" w:customStyle="1" w:styleId="Ruller30">
    <w:name w:val="Ruller 3 תו"/>
    <w:rPr>
      <w:rFonts w:cs="FrankRuehl"/>
      <w:sz w:val="22"/>
      <w:szCs w:val="28"/>
      <w:lang w:val="en-US" w:eastAsia="en-US" w:bidi="he-IL"/>
    </w:rPr>
  </w:style>
  <w:style w:type="character" w:customStyle="1" w:styleId="BodyRuller0">
    <w:name w:val="Body Ruller תו"/>
    <w:rPr>
      <w:rFonts w:cs="David"/>
      <w:sz w:val="22"/>
      <w:szCs w:val="28"/>
      <w:lang w:val="en-US" w:eastAsia="en-US" w:bidi="he-IL"/>
    </w:rPr>
  </w:style>
  <w:style w:type="character" w:customStyle="1" w:styleId="Ruller380">
    <w:name w:val="סגנון Ruller 3 + (מורכב) ‏8 נק תו"/>
    <w:rPr>
      <w:rFonts w:cs="David"/>
      <w:sz w:val="22"/>
      <w:szCs w:val="16"/>
      <w:lang w:val="en-US" w:eastAsia="en-US" w:bidi="he-IL"/>
    </w:rPr>
  </w:style>
  <w:style w:type="paragraph" w:customStyle="1" w:styleId="FileNumber0">
    <w:name w:val="סגנון File Number + ימין"/>
    <w:basedOn w:val="FileNumber"/>
    <w:rsid w:val="004C7868"/>
    <w:pPr>
      <w:jc w:val="left"/>
    </w:pPr>
    <w:rPr>
      <w:szCs w:val="28"/>
    </w:rPr>
  </w:style>
  <w:style w:type="paragraph" w:customStyle="1" w:styleId="BODYVERDICT">
    <w:name w:val="BODY VERDICT"/>
    <w:basedOn w:val="a"/>
    <w:rsid w:val="00036227"/>
    <w:rPr>
      <w:rFonts w:cs="FrankRuehl"/>
      <w:spacing w:val="10"/>
      <w:sz w:val="22"/>
      <w:szCs w:val="28"/>
    </w:rPr>
  </w:style>
  <w:style w:type="character" w:styleId="Hyperlink">
    <w:name w:val="Hyperlink"/>
    <w:rsid w:val="003F1F97"/>
    <w:rPr>
      <w:color w:val="0000FF"/>
      <w:u w:val="single"/>
    </w:rPr>
  </w:style>
  <w:style w:type="table" w:styleId="a6">
    <w:name w:val="Table Grid"/>
    <w:basedOn w:val="a1"/>
    <w:rsid w:val="003F1F97"/>
    <w:pPr>
      <w:overflowPunct w:val="0"/>
      <w:autoSpaceDE w:val="0"/>
      <w:autoSpaceDN w:val="0"/>
      <w:bidi/>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a0"/>
    <w:rsid w:val="0058440A"/>
    <w:rPr>
      <w:color w:val="954F72" w:themeColor="followedHyperlink"/>
      <w:u w:val="single"/>
    </w:rPr>
  </w:style>
  <w:style w:type="character" w:styleId="a7">
    <w:name w:val="annotation reference"/>
    <w:basedOn w:val="a0"/>
    <w:rsid w:val="00D00B1D"/>
    <w:rPr>
      <w:sz w:val="16"/>
      <w:szCs w:val="16"/>
    </w:rPr>
  </w:style>
  <w:style w:type="paragraph" w:styleId="a8">
    <w:name w:val="annotation text"/>
    <w:basedOn w:val="a"/>
    <w:link w:val="a9"/>
    <w:rsid w:val="00D00B1D"/>
    <w:rPr>
      <w:szCs w:val="20"/>
    </w:rPr>
  </w:style>
  <w:style w:type="character" w:customStyle="1" w:styleId="a9">
    <w:name w:val="טקסט הערה תו"/>
    <w:basedOn w:val="a0"/>
    <w:link w:val="a8"/>
    <w:rsid w:val="00D00B1D"/>
    <w:rPr>
      <w:rFonts w:cs="David"/>
    </w:rPr>
  </w:style>
  <w:style w:type="paragraph" w:styleId="aa">
    <w:name w:val="annotation subject"/>
    <w:basedOn w:val="a8"/>
    <w:next w:val="a8"/>
    <w:link w:val="ab"/>
    <w:rsid w:val="00D00B1D"/>
    <w:rPr>
      <w:b/>
      <w:bCs/>
    </w:rPr>
  </w:style>
  <w:style w:type="character" w:customStyle="1" w:styleId="ab">
    <w:name w:val="נושא הערה תו"/>
    <w:basedOn w:val="a9"/>
    <w:link w:val="aa"/>
    <w:rsid w:val="00D00B1D"/>
    <w:rPr>
      <w:rFonts w:cs="David"/>
      <w:b/>
      <w:bCs/>
    </w:rPr>
  </w:style>
  <w:style w:type="paragraph" w:styleId="ac">
    <w:name w:val="Balloon Text"/>
    <w:basedOn w:val="a"/>
    <w:link w:val="ad"/>
    <w:rsid w:val="00D00B1D"/>
    <w:rPr>
      <w:rFonts w:ascii="Tahoma" w:hAnsi="Tahoma" w:cs="Tahoma"/>
      <w:sz w:val="18"/>
      <w:szCs w:val="18"/>
    </w:rPr>
  </w:style>
  <w:style w:type="character" w:customStyle="1" w:styleId="ad">
    <w:name w:val="טקסט בלונים תו"/>
    <w:basedOn w:val="a0"/>
    <w:link w:val="ac"/>
    <w:rsid w:val="00D00B1D"/>
    <w:rPr>
      <w:rFonts w:ascii="Tahoma" w:hAnsi="Tahoma" w:cs="Tahoma"/>
      <w:sz w:val="18"/>
      <w:szCs w:val="18"/>
    </w:rPr>
  </w:style>
  <w:style w:type="character" w:customStyle="1" w:styleId="Ruller40">
    <w:name w:val="Ruller4 תו"/>
    <w:link w:val="Ruller4"/>
    <w:locked/>
    <w:rsid w:val="005C3DB9"/>
    <w:rPr>
      <w:rFonts w:ascii="Arial TUR" w:hAnsi="Arial TUR" w:cs="FrankRuehl"/>
      <w:spacing w:val="10"/>
      <w:sz w:val="22"/>
      <w:szCs w:val="28"/>
    </w:rPr>
  </w:style>
  <w:style w:type="paragraph" w:customStyle="1" w:styleId="ae">
    <w:name w:val="דגש"/>
    <w:basedOn w:val="a"/>
    <w:link w:val="Char"/>
    <w:qFormat/>
    <w:rsid w:val="005C3DB9"/>
    <w:pPr>
      <w:tabs>
        <w:tab w:val="left" w:pos="800"/>
      </w:tabs>
      <w:spacing w:line="360" w:lineRule="auto"/>
      <w:jc w:val="both"/>
    </w:pPr>
    <w:rPr>
      <w:rFonts w:ascii="Arial TUR" w:hAnsi="Arial TUR" w:cs="Miriam"/>
      <w:spacing w:val="10"/>
      <w:sz w:val="24"/>
    </w:rPr>
  </w:style>
  <w:style w:type="character" w:customStyle="1" w:styleId="Char">
    <w:name w:val="דגש Char"/>
    <w:basedOn w:val="a0"/>
    <w:link w:val="ae"/>
    <w:rsid w:val="005C3DB9"/>
    <w:rPr>
      <w:rFonts w:ascii="Arial TUR" w:hAnsi="Arial TUR" w:cs="Miriam"/>
      <w:spacing w:val="1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617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upreme.court.gov.i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1691</Words>
  <Characters>8455</Characters>
  <Application>Microsoft Office Word</Application>
  <DocSecurity>0</DocSecurity>
  <Lines>70</Lines>
  <Paragraphs>20</Paragraphs>
  <ScaleCrop>false</ScaleCrop>
  <HeadingPairs>
    <vt:vector size="2" baseType="variant">
      <vt:variant>
        <vt:lpstr>שם</vt:lpstr>
      </vt:variant>
      <vt:variant>
        <vt:i4>1</vt:i4>
      </vt:variant>
    </vt:vector>
  </HeadingPairs>
  <TitlesOfParts>
    <vt:vector size="1" baseType="lpstr">
      <vt:lpstr>החלטה בתיק רע"א  2804/20</vt:lpstr>
    </vt:vector>
  </TitlesOfParts>
  <Company/>
  <LinksUpToDate>false</LinksUpToDate>
  <CharactersWithSpaces>10126</CharactersWithSpaces>
  <SharedDoc>false</SharedDoc>
  <HLinks>
    <vt:vector size="6" baseType="variant">
      <vt:variant>
        <vt:i4>1966158</vt:i4>
      </vt:variant>
      <vt:variant>
        <vt:i4>12</vt:i4>
      </vt:variant>
      <vt:variant>
        <vt:i4>0</vt:i4>
      </vt:variant>
      <vt:variant>
        <vt:i4>5</vt:i4>
      </vt:variant>
      <vt:variant>
        <vt:lpwstr>http://www.court.gov.il/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עודד ארבל</dc:creator>
  <cp:keywords/>
  <dc:description/>
  <cp:lastModifiedBy>עודד ארבל</cp:lastModifiedBy>
  <cp:revision>2</cp:revision>
  <cp:lastPrinted>2020-09-15T15:52:00Z</cp:lastPrinted>
  <dcterms:created xsi:type="dcterms:W3CDTF">2020-09-16T05:34:00Z</dcterms:created>
  <dcterms:modified xsi:type="dcterms:W3CDTF">2020-09-16T05:34:00Z</dcterms:modified>
</cp:coreProperties>
</file>