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tbl>
      <w:tblPr>
        <w:bidiVisual/>
        <w:tblW w:w="8736" w:type="dxa"/>
        <w:jc w:val="center"/>
        <w:tblLook w:val="0000"/>
      </w:tblPr>
      <w:tblGrid>
        <w:gridCol w:w="8736"/>
      </w:tblGrid>
      <w:tr w:rsidTr="001354CD">
        <w:tblPrEx>
          <w:tblW w:w="8736" w:type="dxa"/>
          <w:jc w:val="center"/>
          <w:tblLook w:val="0000"/>
        </w:tblPrEx>
        <w:trPr>
          <w:trHeight w:hRule="exact" w:val="624"/>
          <w:jc w:val="center"/>
        </w:trPr>
        <w:tc>
          <w:tcPr>
            <w:tcW w:w="8736" w:type="dxa"/>
          </w:tcPr>
          <w:p w:rsidR="00270C62" w:rsidRPr="006B2782" w:rsidP="0065117E">
            <w:pPr>
              <w:pStyle w:val="Header"/>
              <w:jc w:val="center"/>
              <w:rPr>
                <w:rFonts w:ascii="Tahoma" w:hAnsi="Tahoma"/>
                <w:b/>
                <w:bCs/>
                <w:sz w:val="28"/>
                <w:szCs w:val="28"/>
                <w:rtl/>
              </w:rPr>
            </w:pPr>
            <w:bookmarkStart w:id="0" w:name="LastJudge"/>
            <w:r w:rsidRPr="006B2782">
              <w:rPr>
                <w:rFonts w:ascii="Tahoma" w:hAnsi="Tahoma" w:hint="cs"/>
                <w:b/>
                <w:bCs/>
                <w:sz w:val="28"/>
                <w:szCs w:val="28"/>
                <w:rtl/>
              </w:rPr>
              <w:t>בבית המשפט העליון</w:t>
            </w:r>
          </w:p>
        </w:tc>
      </w:tr>
    </w:tbl>
    <w:p w:rsidR="00C9217F" w:rsidRPr="006B2782" w:rsidP="00157BE1">
      <w:pPr>
        <w:pStyle w:val="Header"/>
        <w:tabs>
          <w:tab w:val="clear" w:pos="8306"/>
        </w:tabs>
        <w:ind w:right="-284"/>
        <w:jc w:val="right"/>
        <w:rPr>
          <w:rFonts w:ascii="David" w:hAnsi="David"/>
          <w:b/>
          <w:bCs/>
          <w:sz w:val="28"/>
          <w:szCs w:val="28"/>
          <w:rtl/>
        </w:rPr>
      </w:pPr>
      <w:r w:rsidRPr="006B2782">
        <w:rPr>
          <w:rFonts w:hint="cs"/>
          <w:sz w:val="28"/>
          <w:szCs w:val="28"/>
          <w:rtl/>
        </w:rPr>
        <w:t xml:space="preserve">  </w:t>
      </w:r>
      <w:r w:rsidRPr="006B2782" w:rsidR="00270C62">
        <w:rPr>
          <w:sz w:val="28"/>
          <w:szCs w:val="28"/>
          <w:rtl/>
        </w:rPr>
        <w:t xml:space="preserve"> </w:t>
      </w:r>
      <w:r w:rsidRPr="006B2782">
        <w:rPr>
          <w:rFonts w:ascii="David" w:hAnsi="David"/>
          <w:b/>
          <w:bCs/>
          <w:sz w:val="28"/>
          <w:szCs w:val="28"/>
          <w:rtl/>
        </w:rPr>
        <w:t>רע"א</w:t>
      </w:r>
      <w:r w:rsidRPr="006B2782" w:rsidR="005572B1">
        <w:rPr>
          <w:rFonts w:ascii="David" w:hAnsi="David"/>
          <w:b/>
          <w:bCs/>
          <w:sz w:val="28"/>
          <w:szCs w:val="28"/>
          <w:rtl/>
        </w:rPr>
        <w:t xml:space="preserve"> </w:t>
      </w:r>
      <w:r w:rsidRPr="006B2782">
        <w:rPr>
          <w:rFonts w:ascii="David" w:hAnsi="David"/>
          <w:b/>
          <w:bCs/>
          <w:sz w:val="28"/>
          <w:szCs w:val="28"/>
          <w:rtl/>
        </w:rPr>
        <w:t>24970-11-24</w:t>
      </w:r>
      <w:r w:rsidRPr="006B2782" w:rsidR="004B1979">
        <w:rPr>
          <w:rFonts w:ascii="David" w:hAnsi="David"/>
          <w:b/>
          <w:bCs/>
          <w:sz w:val="28"/>
          <w:szCs w:val="28"/>
          <w:rtl/>
        </w:rPr>
        <w:br/>
      </w:r>
      <w:r w:rsidRPr="006B2782" w:rsidR="004B1979">
        <w:rPr>
          <w:rFonts w:ascii="David" w:hAnsi="David" w:hint="cs"/>
          <w:b/>
          <w:bCs/>
          <w:sz w:val="28"/>
          <w:szCs w:val="28"/>
          <w:rtl/>
        </w:rPr>
        <w:t>רע"א 69026-03-25</w:t>
      </w:r>
    </w:p>
    <w:p w:rsidR="0094424E" w:rsidRPr="006B2782" w:rsidP="00D44968">
      <w:pPr>
        <w:suppressLineNumbers/>
        <w:rPr>
          <w:rtl/>
        </w:rPr>
      </w:pPr>
    </w:p>
    <w:tbl>
      <w:tblPr>
        <w:bidiVisual/>
        <w:tblW w:w="8795" w:type="dxa"/>
        <w:jc w:val="center"/>
        <w:tblLook w:val="01E0"/>
      </w:tblPr>
      <w:tblGrid>
        <w:gridCol w:w="3828"/>
        <w:gridCol w:w="4960"/>
        <w:gridCol w:w="7"/>
      </w:tblGrid>
      <w:tr w:rsidTr="006B2782">
        <w:tblPrEx>
          <w:tblW w:w="8795" w:type="dxa"/>
          <w:jc w:val="center"/>
          <w:tblLook w:val="01E0"/>
        </w:tblPrEx>
        <w:trPr>
          <w:gridAfter w:val="1"/>
          <w:wAfter w:w="7" w:type="dxa"/>
          <w:trHeight w:val="295"/>
          <w:jc w:val="center"/>
        </w:trPr>
        <w:tc>
          <w:tcPr>
            <w:tcW w:w="8788" w:type="dxa"/>
            <w:gridSpan w:val="2"/>
            <w:shd w:val="clear" w:color="auto" w:fill="auto"/>
          </w:tcPr>
          <w:p w:rsidR="004B1979" w:rsidRPr="006B2782" w:rsidP="006B2782">
            <w:pPr>
              <w:suppressLineNumbers/>
              <w:rPr>
                <w:rFonts w:ascii="Arial" w:hAnsi="Arial"/>
                <w:sz w:val="28"/>
                <w:szCs w:val="28"/>
              </w:rPr>
            </w:pPr>
          </w:p>
        </w:tc>
      </w:tr>
      <w:tr w:rsidTr="006B2782">
        <w:tblPrEx>
          <w:tblW w:w="8795" w:type="dxa"/>
          <w:jc w:val="center"/>
          <w:tblLook w:val="01E0"/>
        </w:tblPrEx>
        <w:trPr>
          <w:jc w:val="center"/>
        </w:trPr>
        <w:tc>
          <w:tcPr>
            <w:tcW w:w="3828" w:type="dxa"/>
            <w:shd w:val="clear" w:color="auto" w:fill="auto"/>
          </w:tcPr>
          <w:p w:rsidR="004B1979" w:rsidRPr="006B2782" w:rsidP="006B2782">
            <w:pPr>
              <w:suppressLineNumbers/>
              <w:ind w:right="-295"/>
              <w:jc w:val="both"/>
              <w:rPr>
                <w:rFonts w:ascii="David" w:hAnsi="David"/>
                <w:sz w:val="28"/>
                <w:szCs w:val="28"/>
                <w:rtl/>
              </w:rPr>
            </w:pPr>
            <w:r w:rsidRPr="006B2782">
              <w:rPr>
                <w:rFonts w:ascii="David" w:hAnsi="David"/>
                <w:sz w:val="28"/>
                <w:szCs w:val="28"/>
                <w:rtl/>
              </w:rPr>
              <w:t>לפני:</w:t>
            </w:r>
          </w:p>
        </w:tc>
        <w:tc>
          <w:tcPr>
            <w:tcW w:w="4967" w:type="dxa"/>
            <w:gridSpan w:val="2"/>
            <w:shd w:val="clear" w:color="auto" w:fill="auto"/>
          </w:tcPr>
          <w:p w:rsidR="004B1979" w:rsidRPr="006B2782" w:rsidP="006B2782">
            <w:pPr>
              <w:suppressLineNumbers/>
              <w:rPr>
                <w:rFonts w:ascii="David" w:hAnsi="David"/>
                <w:sz w:val="28"/>
                <w:szCs w:val="28"/>
                <w:rtl/>
              </w:rPr>
            </w:pPr>
            <w:r w:rsidRPr="006B2782">
              <w:rPr>
                <w:rFonts w:ascii="David" w:hAnsi="David"/>
                <w:sz w:val="28"/>
                <w:szCs w:val="28"/>
                <w:rtl/>
              </w:rPr>
              <w:t xml:space="preserve">כבוד השופטת </w:t>
            </w:r>
            <w:bookmarkStart w:id="1" w:name="_Hlk207880795"/>
            <w:r w:rsidRPr="006B2782">
              <w:rPr>
                <w:rFonts w:ascii="David" w:hAnsi="David"/>
                <w:sz w:val="28"/>
                <w:szCs w:val="28"/>
                <w:rtl/>
              </w:rPr>
              <w:t>גילה כנפי-שטייניץ</w:t>
            </w:r>
            <w:bookmarkEnd w:id="1"/>
          </w:p>
          <w:p w:rsidR="004B1979" w:rsidRPr="006B2782" w:rsidP="006B2782">
            <w:pPr>
              <w:suppressLineNumbers/>
              <w:rPr>
                <w:rFonts w:ascii="David" w:hAnsi="David"/>
                <w:sz w:val="28"/>
                <w:szCs w:val="28"/>
                <w:rtl/>
              </w:rPr>
            </w:pPr>
          </w:p>
        </w:tc>
      </w:tr>
      <w:tr w:rsidTr="006B2782">
        <w:tblPrEx>
          <w:tblW w:w="8795" w:type="dxa"/>
          <w:jc w:val="center"/>
          <w:tblLook w:val="01E0"/>
        </w:tblPrEx>
        <w:trPr>
          <w:gridAfter w:val="1"/>
          <w:wAfter w:w="7" w:type="dxa"/>
          <w:jc w:val="center"/>
        </w:trPr>
        <w:tc>
          <w:tcPr>
            <w:tcW w:w="3828" w:type="dxa"/>
            <w:shd w:val="clear" w:color="auto" w:fill="auto"/>
          </w:tcPr>
          <w:p w:rsidR="004B1979" w:rsidRPr="006B2782" w:rsidP="006B2782">
            <w:pPr>
              <w:suppressLineNumbers/>
              <w:rPr>
                <w:rFonts w:ascii="David" w:hAnsi="David"/>
                <w:sz w:val="28"/>
                <w:szCs w:val="28"/>
                <w:rtl/>
              </w:rPr>
            </w:pPr>
            <w:bookmarkStart w:id="2" w:name="FirstAppellant"/>
            <w:r w:rsidRPr="006B2782">
              <w:rPr>
                <w:rFonts w:ascii="David" w:hAnsi="David"/>
                <w:sz w:val="28"/>
                <w:szCs w:val="28"/>
                <w:rtl/>
              </w:rPr>
              <w:t>המבקש ברע"א 24970-11-24 וברע"א 69026-03-25:</w:t>
            </w:r>
          </w:p>
        </w:tc>
        <w:tc>
          <w:tcPr>
            <w:tcW w:w="4960" w:type="dxa"/>
            <w:shd w:val="clear" w:color="auto" w:fill="auto"/>
          </w:tcPr>
          <w:p w:rsidR="004B1979" w:rsidRPr="006B2782" w:rsidP="006B2782">
            <w:pPr>
              <w:suppressLineNumbers/>
              <w:rPr>
                <w:rFonts w:ascii="David" w:hAnsi="David"/>
                <w:sz w:val="28"/>
                <w:szCs w:val="28"/>
                <w:rtl/>
              </w:rPr>
            </w:pPr>
            <w:r w:rsidRPr="006B2782">
              <w:rPr>
                <w:rFonts w:ascii="David" w:hAnsi="David"/>
                <w:sz w:val="28"/>
                <w:szCs w:val="28"/>
                <w:rtl/>
              </w:rPr>
              <w:br/>
              <w:t>אשר ליסטר</w:t>
            </w:r>
          </w:p>
        </w:tc>
      </w:tr>
      <w:bookmarkEnd w:id="2"/>
      <w:tr w:rsidTr="006B2782">
        <w:tblPrEx>
          <w:tblW w:w="8795" w:type="dxa"/>
          <w:jc w:val="center"/>
          <w:tblLook w:val="01E0"/>
        </w:tblPrEx>
        <w:trPr>
          <w:gridAfter w:val="1"/>
          <w:wAfter w:w="7" w:type="dxa"/>
          <w:jc w:val="center"/>
        </w:trPr>
        <w:tc>
          <w:tcPr>
            <w:tcW w:w="8788" w:type="dxa"/>
            <w:gridSpan w:val="2"/>
            <w:shd w:val="clear" w:color="auto" w:fill="auto"/>
          </w:tcPr>
          <w:p w:rsidR="004B1979" w:rsidRPr="006B2782" w:rsidP="006B2782">
            <w:pPr>
              <w:suppressLineNumbers/>
              <w:rPr>
                <w:rFonts w:ascii="David" w:hAnsi="David"/>
                <w:sz w:val="28"/>
                <w:szCs w:val="28"/>
                <w:rtl/>
              </w:rPr>
            </w:pPr>
          </w:p>
          <w:p w:rsidR="004B1979" w:rsidRPr="006B2782" w:rsidP="006B2782">
            <w:pPr>
              <w:suppressLineNumbers/>
              <w:ind w:left="2880"/>
              <w:rPr>
                <w:rFonts w:ascii="David" w:hAnsi="David"/>
                <w:spacing w:val="40"/>
                <w:sz w:val="28"/>
                <w:szCs w:val="28"/>
                <w:rtl/>
              </w:rPr>
            </w:pPr>
            <w:r w:rsidRPr="006B2782">
              <w:rPr>
                <w:rFonts w:ascii="David" w:hAnsi="David"/>
                <w:spacing w:val="40"/>
                <w:sz w:val="28"/>
                <w:szCs w:val="28"/>
                <w:rtl/>
              </w:rPr>
              <w:t xml:space="preserve">    נגד</w:t>
            </w:r>
          </w:p>
          <w:p w:rsidR="004B1979" w:rsidRPr="006B2782" w:rsidP="006B2782">
            <w:pPr>
              <w:suppressLineNumbers/>
              <w:rPr>
                <w:rFonts w:ascii="David" w:hAnsi="David"/>
                <w:sz w:val="16"/>
                <w:szCs w:val="16"/>
                <w:rtl/>
              </w:rPr>
            </w:pPr>
          </w:p>
        </w:tc>
      </w:tr>
      <w:tr w:rsidTr="006B2782">
        <w:tblPrEx>
          <w:tblW w:w="8795" w:type="dxa"/>
          <w:jc w:val="center"/>
          <w:tblLook w:val="01E0"/>
        </w:tblPrEx>
        <w:trPr>
          <w:gridAfter w:val="1"/>
          <w:wAfter w:w="7" w:type="dxa"/>
          <w:jc w:val="center"/>
        </w:trPr>
        <w:tc>
          <w:tcPr>
            <w:tcW w:w="3828" w:type="dxa"/>
            <w:shd w:val="clear" w:color="auto" w:fill="auto"/>
          </w:tcPr>
          <w:p w:rsidR="004B1979" w:rsidRPr="006B2782" w:rsidP="006B2782">
            <w:pPr>
              <w:suppressLineNumbers/>
              <w:rPr>
                <w:rFonts w:ascii="David" w:hAnsi="David"/>
                <w:sz w:val="28"/>
                <w:szCs w:val="28"/>
                <w:rtl/>
              </w:rPr>
            </w:pPr>
            <w:r w:rsidRPr="006B2782">
              <w:rPr>
                <w:rFonts w:ascii="David" w:hAnsi="David"/>
                <w:sz w:val="28"/>
                <w:szCs w:val="28"/>
                <w:rtl/>
              </w:rPr>
              <w:t>המשיבים 2-1 ברע"א 24970-11-24 וברע"א 69026-03-25:</w:t>
            </w:r>
          </w:p>
        </w:tc>
        <w:tc>
          <w:tcPr>
            <w:tcW w:w="4960" w:type="dxa"/>
            <w:shd w:val="clear" w:color="auto" w:fill="auto"/>
          </w:tcPr>
          <w:p w:rsidR="004B1979" w:rsidRPr="006B2782" w:rsidP="006B2782">
            <w:pPr>
              <w:suppressLineNumbers/>
              <w:rPr>
                <w:rFonts w:ascii="David" w:hAnsi="David"/>
                <w:sz w:val="28"/>
                <w:szCs w:val="28"/>
                <w:rtl/>
              </w:rPr>
            </w:pPr>
            <w:r w:rsidRPr="006B2782">
              <w:rPr>
                <w:rFonts w:ascii="David" w:hAnsi="David"/>
                <w:sz w:val="28"/>
                <w:szCs w:val="28"/>
                <w:rtl/>
              </w:rPr>
              <w:br/>
            </w:r>
            <w:r w:rsidRPr="006B2782" w:rsidR="005572B1">
              <w:rPr>
                <w:rFonts w:ascii="David" w:hAnsi="David"/>
                <w:sz w:val="28"/>
                <w:szCs w:val="28"/>
                <w:rtl/>
              </w:rPr>
              <w:t>1. שבתאי רפאל בע"מ</w:t>
            </w:r>
          </w:p>
          <w:p w:rsidR="004B1979" w:rsidRPr="006B2782" w:rsidP="006B2782">
            <w:pPr>
              <w:suppressLineNumbers/>
              <w:rPr>
                <w:rFonts w:ascii="David" w:hAnsi="David"/>
                <w:sz w:val="28"/>
                <w:szCs w:val="28"/>
                <w:rtl/>
              </w:rPr>
            </w:pPr>
            <w:r w:rsidRPr="006B2782">
              <w:rPr>
                <w:rFonts w:ascii="David" w:hAnsi="David"/>
                <w:sz w:val="28"/>
                <w:szCs w:val="28"/>
                <w:rtl/>
              </w:rPr>
              <w:t>2. שמואל ליסטר</w:t>
            </w:r>
          </w:p>
        </w:tc>
      </w:tr>
      <w:tr w:rsidTr="006B2782">
        <w:tblPrEx>
          <w:tblW w:w="8795" w:type="dxa"/>
          <w:jc w:val="center"/>
          <w:tblLook w:val="01E0"/>
        </w:tblPrEx>
        <w:trPr>
          <w:gridAfter w:val="1"/>
          <w:wAfter w:w="7" w:type="dxa"/>
          <w:jc w:val="center"/>
        </w:trPr>
        <w:tc>
          <w:tcPr>
            <w:tcW w:w="3828" w:type="dxa"/>
            <w:shd w:val="clear" w:color="auto" w:fill="auto"/>
          </w:tcPr>
          <w:p w:rsidR="004B1979" w:rsidRPr="006B2782" w:rsidP="006B2782">
            <w:pPr>
              <w:suppressLineNumbers/>
              <w:rPr>
                <w:rFonts w:ascii="David" w:hAnsi="David"/>
                <w:sz w:val="28"/>
                <w:szCs w:val="28"/>
                <w:rtl/>
              </w:rPr>
            </w:pPr>
          </w:p>
          <w:p w:rsidR="004B1979" w:rsidRPr="006B2782" w:rsidP="006B2782">
            <w:pPr>
              <w:suppressLineNumbers/>
              <w:rPr>
                <w:rFonts w:ascii="David" w:hAnsi="David"/>
                <w:sz w:val="28"/>
                <w:szCs w:val="28"/>
                <w:rtl/>
              </w:rPr>
            </w:pPr>
            <w:r w:rsidRPr="006B2782">
              <w:rPr>
                <w:rFonts w:ascii="David" w:hAnsi="David"/>
                <w:sz w:val="28"/>
                <w:szCs w:val="28"/>
                <w:rtl/>
              </w:rPr>
              <w:t>המשיב 3 ברע"א 24970-11-24 והמשיב 4 ברע"א 69026-03-25:</w:t>
            </w:r>
          </w:p>
        </w:tc>
        <w:tc>
          <w:tcPr>
            <w:tcW w:w="4960" w:type="dxa"/>
            <w:shd w:val="clear" w:color="auto" w:fill="auto"/>
          </w:tcPr>
          <w:p w:rsidR="004B1979" w:rsidRPr="006B2782" w:rsidP="006B2782">
            <w:pPr>
              <w:suppressLineNumbers/>
              <w:rPr>
                <w:rFonts w:ascii="David" w:hAnsi="David"/>
                <w:sz w:val="28"/>
                <w:szCs w:val="28"/>
                <w:rtl/>
              </w:rPr>
            </w:pPr>
          </w:p>
          <w:p w:rsidR="004B1979" w:rsidRPr="006B2782" w:rsidP="006B2782">
            <w:pPr>
              <w:suppressLineNumbers/>
              <w:rPr>
                <w:rFonts w:ascii="David" w:hAnsi="David"/>
                <w:sz w:val="28"/>
                <w:szCs w:val="28"/>
                <w:rtl/>
              </w:rPr>
            </w:pPr>
          </w:p>
          <w:p w:rsidR="004B1979" w:rsidRPr="006B2782" w:rsidP="006B2782">
            <w:pPr>
              <w:suppressLineNumbers/>
              <w:rPr>
                <w:rFonts w:ascii="David" w:hAnsi="David"/>
                <w:sz w:val="28"/>
                <w:szCs w:val="28"/>
                <w:rtl/>
              </w:rPr>
            </w:pPr>
            <w:r w:rsidRPr="006B2782">
              <w:rPr>
                <w:rFonts w:ascii="David" w:hAnsi="David"/>
                <w:sz w:val="28"/>
                <w:szCs w:val="28"/>
                <w:rtl/>
              </w:rPr>
              <w:t>עו"ד מיכה צמיר</w:t>
            </w:r>
          </w:p>
        </w:tc>
      </w:tr>
      <w:tr w:rsidTr="006B2782">
        <w:tblPrEx>
          <w:tblW w:w="8795" w:type="dxa"/>
          <w:jc w:val="center"/>
          <w:tblLook w:val="01E0"/>
        </w:tblPrEx>
        <w:trPr>
          <w:gridAfter w:val="1"/>
          <w:wAfter w:w="7" w:type="dxa"/>
          <w:jc w:val="center"/>
        </w:trPr>
        <w:tc>
          <w:tcPr>
            <w:tcW w:w="3828" w:type="dxa"/>
            <w:shd w:val="clear" w:color="auto" w:fill="auto"/>
          </w:tcPr>
          <w:p w:rsidR="004B1979" w:rsidRPr="006B2782" w:rsidP="006B2782">
            <w:pPr>
              <w:suppressLineNumbers/>
              <w:rPr>
                <w:rFonts w:ascii="David" w:hAnsi="David"/>
                <w:sz w:val="28"/>
                <w:szCs w:val="28"/>
                <w:rtl/>
              </w:rPr>
            </w:pPr>
          </w:p>
          <w:p w:rsidR="004B1979" w:rsidRPr="006B2782" w:rsidP="006B2782">
            <w:pPr>
              <w:suppressLineNumbers/>
              <w:rPr>
                <w:rFonts w:ascii="David" w:hAnsi="David"/>
                <w:sz w:val="28"/>
                <w:szCs w:val="28"/>
                <w:rtl/>
              </w:rPr>
            </w:pPr>
            <w:r w:rsidRPr="006B2782">
              <w:rPr>
                <w:rFonts w:ascii="David" w:hAnsi="David"/>
                <w:sz w:val="28"/>
                <w:szCs w:val="28"/>
                <w:rtl/>
              </w:rPr>
              <w:t>המשיב 3 ברע"א 69026-03-25:</w:t>
            </w:r>
          </w:p>
        </w:tc>
        <w:tc>
          <w:tcPr>
            <w:tcW w:w="4960" w:type="dxa"/>
            <w:shd w:val="clear" w:color="auto" w:fill="auto"/>
          </w:tcPr>
          <w:p w:rsidR="004B1979" w:rsidRPr="006B2782" w:rsidP="006B2782">
            <w:pPr>
              <w:suppressLineNumbers/>
              <w:rPr>
                <w:rFonts w:ascii="David" w:hAnsi="David"/>
                <w:sz w:val="28"/>
                <w:szCs w:val="28"/>
                <w:rtl/>
              </w:rPr>
            </w:pPr>
          </w:p>
          <w:p w:rsidR="004B1979" w:rsidRPr="006B2782" w:rsidP="006B2782">
            <w:pPr>
              <w:suppressLineNumbers/>
              <w:rPr>
                <w:rFonts w:ascii="David" w:hAnsi="David"/>
                <w:sz w:val="28"/>
                <w:szCs w:val="28"/>
                <w:rtl/>
              </w:rPr>
            </w:pPr>
            <w:r w:rsidRPr="006B2782">
              <w:rPr>
                <w:rFonts w:ascii="David" w:hAnsi="David"/>
                <w:sz w:val="28"/>
                <w:szCs w:val="28"/>
                <w:rtl/>
              </w:rPr>
              <w:t>כונס הנכסים הרשמי</w:t>
            </w:r>
          </w:p>
        </w:tc>
      </w:tr>
      <w:tr w:rsidTr="006B2782">
        <w:tblPrEx>
          <w:tblW w:w="8795" w:type="dxa"/>
          <w:jc w:val="center"/>
          <w:tblLook w:val="01E0"/>
        </w:tblPrEx>
        <w:trPr>
          <w:gridAfter w:val="1"/>
          <w:wAfter w:w="7" w:type="dxa"/>
          <w:jc w:val="center"/>
        </w:trPr>
        <w:tc>
          <w:tcPr>
            <w:tcW w:w="3828" w:type="dxa"/>
            <w:shd w:val="clear" w:color="auto" w:fill="auto"/>
          </w:tcPr>
          <w:p w:rsidR="004B1979" w:rsidRPr="006B2782" w:rsidP="006B2782">
            <w:pPr>
              <w:suppressLineNumbers/>
              <w:rPr>
                <w:rFonts w:ascii="David" w:hAnsi="David"/>
                <w:sz w:val="28"/>
                <w:szCs w:val="28"/>
                <w:rtl/>
              </w:rPr>
            </w:pPr>
          </w:p>
        </w:tc>
        <w:tc>
          <w:tcPr>
            <w:tcW w:w="4960" w:type="dxa"/>
            <w:shd w:val="clear" w:color="auto" w:fill="auto"/>
          </w:tcPr>
          <w:p w:rsidR="004B1979" w:rsidRPr="006B2782" w:rsidP="006B2782">
            <w:pPr>
              <w:suppressLineNumbers/>
              <w:jc w:val="both"/>
              <w:rPr>
                <w:rFonts w:ascii="David" w:hAnsi="David"/>
                <w:rtl/>
              </w:rPr>
            </w:pPr>
          </w:p>
          <w:p w:rsidR="004B1979" w:rsidRPr="006B2782" w:rsidP="006B2782">
            <w:pPr>
              <w:suppressLineNumbers/>
              <w:jc w:val="both"/>
              <w:rPr>
                <w:rFonts w:ascii="David" w:hAnsi="David"/>
                <w:rtl/>
              </w:rPr>
            </w:pPr>
            <w:r w:rsidRPr="006B2782">
              <w:rPr>
                <w:rFonts w:ascii="David" w:hAnsi="David" w:hint="cs"/>
                <w:rtl/>
              </w:rPr>
              <w:t>בקשות רשות ערעור על החלטות בית המשפט המחוזי בתל אביב-יפו (השופטת ה' אסיף) מימים 10.9.2024, 16.9.2024 ו-28.1.2025 ב</w:t>
            </w:r>
            <w:hyperlink r:id="rId4" w:history="1">
              <w:r w:rsidRPr="006B2782" w:rsidR="006B2782">
                <w:rPr>
                  <w:rFonts w:ascii="David" w:hAnsi="David"/>
                  <w:color w:val="0000FF"/>
                  <w:u w:val="single"/>
                  <w:rtl/>
                </w:rPr>
                <w:t>פש"ר 26246-04-12</w:t>
              </w:r>
            </w:hyperlink>
            <w:r w:rsidRPr="006B2782">
              <w:rPr>
                <w:rFonts w:ascii="David" w:hAnsi="David" w:hint="cs"/>
                <w:rtl/>
              </w:rPr>
              <w:t xml:space="preserve"> </w:t>
            </w:r>
            <w:r w:rsidR="00E56250">
              <w:rPr>
                <w:rFonts w:ascii="David" w:hAnsi="David" w:hint="cs"/>
                <w:rtl/>
              </w:rPr>
              <w:t xml:space="preserve">[נבו] </w:t>
            </w:r>
          </w:p>
          <w:p w:rsidR="004B1979" w:rsidRPr="006B2782" w:rsidP="006B2782">
            <w:pPr>
              <w:suppressLineNumbers/>
              <w:jc w:val="both"/>
              <w:rPr>
                <w:rFonts w:ascii="David" w:hAnsi="David"/>
                <w:rtl/>
              </w:rPr>
            </w:pPr>
          </w:p>
        </w:tc>
      </w:tr>
      <w:tr w:rsidTr="006B2782">
        <w:tblPrEx>
          <w:tblW w:w="8795" w:type="dxa"/>
          <w:jc w:val="center"/>
          <w:tblLook w:val="01E0"/>
        </w:tblPrEx>
        <w:trPr>
          <w:gridAfter w:val="1"/>
          <w:wAfter w:w="7" w:type="dxa"/>
          <w:jc w:val="center"/>
        </w:trPr>
        <w:tc>
          <w:tcPr>
            <w:tcW w:w="3828" w:type="dxa"/>
            <w:shd w:val="clear" w:color="auto" w:fill="auto"/>
          </w:tcPr>
          <w:p w:rsidR="004B1979" w:rsidRPr="006B2782" w:rsidP="006B2782">
            <w:pPr>
              <w:suppressLineNumbers/>
              <w:jc w:val="both"/>
              <w:rPr>
                <w:rFonts w:ascii="David" w:hAnsi="David"/>
                <w:sz w:val="28"/>
                <w:szCs w:val="28"/>
                <w:highlight w:val="yellow"/>
                <w:rtl/>
              </w:rPr>
            </w:pPr>
            <w:r w:rsidRPr="006B2782">
              <w:rPr>
                <w:rFonts w:ascii="David" w:hAnsi="David"/>
                <w:sz w:val="28"/>
                <w:szCs w:val="28"/>
                <w:rtl/>
              </w:rPr>
              <w:t>בשם המבקש ברע"א 24970-11-24 וברע"א 69026-03-25:</w:t>
            </w:r>
          </w:p>
        </w:tc>
        <w:tc>
          <w:tcPr>
            <w:tcW w:w="4960" w:type="dxa"/>
            <w:shd w:val="clear" w:color="auto" w:fill="auto"/>
          </w:tcPr>
          <w:p w:rsidR="004B1979" w:rsidRPr="006B2782" w:rsidP="006B2782">
            <w:pPr>
              <w:suppressLineNumbers/>
              <w:rPr>
                <w:rFonts w:ascii="David" w:hAnsi="David"/>
                <w:sz w:val="28"/>
                <w:szCs w:val="28"/>
                <w:rtl/>
              </w:rPr>
            </w:pPr>
          </w:p>
          <w:p w:rsidR="004B1979" w:rsidRPr="006B2782" w:rsidP="006B2782">
            <w:pPr>
              <w:suppressLineNumbers/>
              <w:rPr>
                <w:rFonts w:ascii="David" w:hAnsi="David"/>
                <w:sz w:val="28"/>
                <w:szCs w:val="28"/>
                <w:highlight w:val="yellow"/>
                <w:rtl/>
              </w:rPr>
            </w:pPr>
            <w:r w:rsidRPr="006B2782">
              <w:rPr>
                <w:rFonts w:ascii="David" w:hAnsi="David"/>
                <w:sz w:val="28"/>
                <w:szCs w:val="28"/>
                <w:rtl/>
              </w:rPr>
              <w:t>עו"ד יהודה ברמי</w:t>
            </w:r>
          </w:p>
          <w:p w:rsidR="00365A00" w:rsidRPr="006B2782" w:rsidP="006B2782">
            <w:pPr>
              <w:suppressLineNumbers/>
              <w:rPr>
                <w:rFonts w:ascii="David" w:hAnsi="David"/>
                <w:sz w:val="28"/>
                <w:szCs w:val="28"/>
                <w:highlight w:val="yellow"/>
                <w:rtl/>
              </w:rPr>
            </w:pPr>
          </w:p>
        </w:tc>
      </w:tr>
      <w:tr w:rsidTr="006B2782">
        <w:tblPrEx>
          <w:tblW w:w="8795" w:type="dxa"/>
          <w:jc w:val="center"/>
          <w:tblLook w:val="01E0"/>
        </w:tblPrEx>
        <w:trPr>
          <w:gridAfter w:val="1"/>
          <w:wAfter w:w="7" w:type="dxa"/>
          <w:jc w:val="center"/>
        </w:trPr>
        <w:tc>
          <w:tcPr>
            <w:tcW w:w="3828" w:type="dxa"/>
            <w:shd w:val="clear" w:color="auto" w:fill="auto"/>
          </w:tcPr>
          <w:p w:rsidR="00365A00" w:rsidRPr="006B2782" w:rsidP="006B2782">
            <w:pPr>
              <w:suppressLineNumbers/>
              <w:jc w:val="both"/>
              <w:rPr>
                <w:rFonts w:ascii="David" w:hAnsi="David"/>
                <w:sz w:val="28"/>
                <w:szCs w:val="28"/>
                <w:rtl/>
              </w:rPr>
            </w:pPr>
            <w:bookmarkStart w:id="3" w:name="FirstLawyer"/>
            <w:r w:rsidRPr="006B2782">
              <w:rPr>
                <w:rFonts w:ascii="David" w:hAnsi="David" w:hint="cs"/>
                <w:sz w:val="28"/>
                <w:szCs w:val="28"/>
                <w:rtl/>
              </w:rPr>
              <w:t xml:space="preserve">בשם </w:t>
            </w:r>
            <w:r w:rsidRPr="006B2782">
              <w:rPr>
                <w:rFonts w:ascii="David" w:hAnsi="David"/>
                <w:sz w:val="28"/>
                <w:szCs w:val="28"/>
                <w:rtl/>
              </w:rPr>
              <w:t>המשיבים 2-1 ברע"א 24970-11-24 וברע"א 69026-03-25:</w:t>
            </w:r>
          </w:p>
          <w:p w:rsidR="00365A00" w:rsidRPr="006B2782" w:rsidP="006B2782">
            <w:pPr>
              <w:suppressLineNumbers/>
              <w:jc w:val="both"/>
              <w:rPr>
                <w:rFonts w:ascii="David" w:hAnsi="David"/>
                <w:sz w:val="28"/>
                <w:szCs w:val="28"/>
                <w:rtl/>
              </w:rPr>
            </w:pPr>
          </w:p>
        </w:tc>
        <w:tc>
          <w:tcPr>
            <w:tcW w:w="4960" w:type="dxa"/>
            <w:shd w:val="clear" w:color="auto" w:fill="auto"/>
          </w:tcPr>
          <w:p w:rsidR="00365A00" w:rsidRPr="006B2782" w:rsidP="006B2782">
            <w:pPr>
              <w:suppressLineNumbers/>
              <w:rPr>
                <w:rFonts w:ascii="David" w:hAnsi="David"/>
                <w:sz w:val="28"/>
                <w:szCs w:val="28"/>
                <w:rtl/>
              </w:rPr>
            </w:pPr>
          </w:p>
          <w:p w:rsidR="00365A00" w:rsidRPr="006B2782" w:rsidP="006B2782">
            <w:pPr>
              <w:suppressLineNumbers/>
              <w:rPr>
                <w:rFonts w:ascii="David" w:hAnsi="David"/>
                <w:sz w:val="28"/>
                <w:szCs w:val="28"/>
                <w:rtl/>
              </w:rPr>
            </w:pPr>
            <w:r w:rsidRPr="006B2782">
              <w:rPr>
                <w:rFonts w:ascii="David" w:hAnsi="David" w:hint="cs"/>
                <w:sz w:val="28"/>
                <w:szCs w:val="28"/>
                <w:rtl/>
              </w:rPr>
              <w:t>עו"ד אבנר רון</w:t>
            </w:r>
          </w:p>
        </w:tc>
      </w:tr>
      <w:bookmarkEnd w:id="3"/>
      <w:tr w:rsidTr="006B2782">
        <w:tblPrEx>
          <w:tblW w:w="8795" w:type="dxa"/>
          <w:jc w:val="center"/>
          <w:tblLook w:val="01E0"/>
        </w:tblPrEx>
        <w:trPr>
          <w:gridAfter w:val="1"/>
          <w:wAfter w:w="7" w:type="dxa"/>
          <w:jc w:val="center"/>
        </w:trPr>
        <w:tc>
          <w:tcPr>
            <w:tcW w:w="3828" w:type="dxa"/>
            <w:shd w:val="clear" w:color="auto" w:fill="auto"/>
          </w:tcPr>
          <w:p w:rsidR="00365A00" w:rsidRPr="006B2782" w:rsidP="006B2782">
            <w:pPr>
              <w:suppressLineNumbers/>
              <w:jc w:val="both"/>
              <w:rPr>
                <w:rFonts w:ascii="David" w:hAnsi="David"/>
                <w:sz w:val="28"/>
                <w:szCs w:val="28"/>
                <w:rtl/>
              </w:rPr>
            </w:pPr>
            <w:r w:rsidRPr="006B2782">
              <w:rPr>
                <w:rFonts w:ascii="David" w:hAnsi="David" w:hint="cs"/>
                <w:sz w:val="28"/>
                <w:szCs w:val="28"/>
                <w:rtl/>
              </w:rPr>
              <w:t xml:space="preserve">בשם </w:t>
            </w:r>
            <w:r w:rsidRPr="006B2782">
              <w:rPr>
                <w:rFonts w:ascii="David" w:hAnsi="David"/>
                <w:sz w:val="28"/>
                <w:szCs w:val="28"/>
                <w:rtl/>
              </w:rPr>
              <w:t xml:space="preserve">המשיב 3 ברע"א 24970-11-24 והמשיב 4 </w:t>
            </w:r>
            <w:r w:rsidRPr="006B2782">
              <w:rPr>
                <w:rFonts w:ascii="David" w:hAnsi="David"/>
                <w:sz w:val="28"/>
                <w:szCs w:val="28"/>
                <w:rtl/>
              </w:rPr>
              <w:t>ברע"א 69026-03-25:</w:t>
            </w:r>
          </w:p>
        </w:tc>
        <w:tc>
          <w:tcPr>
            <w:tcW w:w="4960" w:type="dxa"/>
            <w:shd w:val="clear" w:color="auto" w:fill="auto"/>
          </w:tcPr>
          <w:p w:rsidR="00365A00" w:rsidRPr="006B2782" w:rsidP="006B2782">
            <w:pPr>
              <w:suppressLineNumbers/>
              <w:rPr>
                <w:rFonts w:ascii="David" w:hAnsi="David"/>
                <w:sz w:val="28"/>
                <w:szCs w:val="28"/>
                <w:rtl/>
              </w:rPr>
            </w:pPr>
          </w:p>
          <w:p w:rsidR="00365A00" w:rsidRPr="006B2782" w:rsidP="006B2782">
            <w:pPr>
              <w:suppressLineNumbers/>
              <w:rPr>
                <w:rFonts w:ascii="David" w:hAnsi="David"/>
                <w:sz w:val="28"/>
                <w:szCs w:val="28"/>
                <w:rtl/>
              </w:rPr>
            </w:pPr>
            <w:r w:rsidRPr="006B2782">
              <w:rPr>
                <w:rFonts w:ascii="David" w:hAnsi="David" w:hint="cs"/>
                <w:sz w:val="28"/>
                <w:szCs w:val="28"/>
                <w:rtl/>
              </w:rPr>
              <w:t>בעצמו</w:t>
            </w:r>
          </w:p>
          <w:p w:rsidR="00365A00" w:rsidRPr="006B2782" w:rsidP="006B2782">
            <w:pPr>
              <w:suppressLineNumbers/>
              <w:rPr>
                <w:rFonts w:ascii="David" w:hAnsi="David"/>
                <w:sz w:val="28"/>
                <w:szCs w:val="28"/>
                <w:rtl/>
              </w:rPr>
            </w:pPr>
          </w:p>
        </w:tc>
      </w:tr>
      <w:tr w:rsidTr="006B2782">
        <w:tblPrEx>
          <w:tblW w:w="8795" w:type="dxa"/>
          <w:jc w:val="center"/>
          <w:tblLook w:val="01E0"/>
        </w:tblPrEx>
        <w:trPr>
          <w:gridAfter w:val="1"/>
          <w:wAfter w:w="7" w:type="dxa"/>
          <w:jc w:val="center"/>
        </w:trPr>
        <w:tc>
          <w:tcPr>
            <w:tcW w:w="3828" w:type="dxa"/>
            <w:shd w:val="clear" w:color="auto" w:fill="auto"/>
          </w:tcPr>
          <w:p w:rsidR="00365A00" w:rsidRPr="006B2782" w:rsidP="006B2782">
            <w:pPr>
              <w:suppressLineNumbers/>
              <w:jc w:val="both"/>
              <w:rPr>
                <w:rFonts w:ascii="David" w:hAnsi="David"/>
                <w:sz w:val="28"/>
                <w:szCs w:val="28"/>
                <w:rtl/>
              </w:rPr>
            </w:pPr>
            <w:r w:rsidRPr="006B2782">
              <w:rPr>
                <w:rFonts w:ascii="David" w:hAnsi="David" w:hint="cs"/>
                <w:sz w:val="28"/>
                <w:szCs w:val="28"/>
                <w:rtl/>
              </w:rPr>
              <w:t xml:space="preserve">בשם </w:t>
            </w:r>
            <w:r w:rsidRPr="006B2782">
              <w:rPr>
                <w:rFonts w:ascii="David" w:hAnsi="David"/>
                <w:sz w:val="28"/>
                <w:szCs w:val="28"/>
                <w:rtl/>
              </w:rPr>
              <w:t>המשיב 3 ברע"א 69026-03-25:</w:t>
            </w:r>
          </w:p>
        </w:tc>
        <w:tc>
          <w:tcPr>
            <w:tcW w:w="4960" w:type="dxa"/>
            <w:shd w:val="clear" w:color="auto" w:fill="auto"/>
          </w:tcPr>
          <w:p w:rsidR="00365A00" w:rsidRPr="006B2782" w:rsidP="006B2782">
            <w:pPr>
              <w:suppressLineNumbers/>
              <w:rPr>
                <w:rFonts w:ascii="David" w:hAnsi="David"/>
                <w:sz w:val="28"/>
                <w:szCs w:val="28"/>
                <w:rtl/>
              </w:rPr>
            </w:pPr>
            <w:r w:rsidRPr="006B2782">
              <w:rPr>
                <w:rFonts w:ascii="David" w:hAnsi="David" w:hint="cs"/>
                <w:sz w:val="28"/>
                <w:szCs w:val="28"/>
                <w:rtl/>
              </w:rPr>
              <w:t>עו"ד אורי טל</w:t>
            </w:r>
          </w:p>
        </w:tc>
      </w:tr>
    </w:tbl>
    <w:p w:rsidR="0094424E" w:rsidRPr="006B2782" w:rsidP="00D44968">
      <w:pPr>
        <w:suppressLineNumbers/>
        <w:rPr>
          <w:rFonts w:ascii="David" w:hAnsi="David"/>
          <w:rtl/>
        </w:rPr>
      </w:pPr>
    </w:p>
    <w:p w:rsidR="00E56250" w:rsidRPr="00E56250" w:rsidP="00E56250">
      <w:pPr>
        <w:suppressLineNumbers/>
        <w:rPr>
          <w:rFonts w:ascii="David" w:hAnsi="David"/>
          <w:rtl/>
        </w:rPr>
      </w:pPr>
      <w:bookmarkStart w:id="4" w:name="LawTable"/>
      <w:bookmarkEnd w:id="4"/>
    </w:p>
    <w:tbl>
      <w:tblPr>
        <w:bidiVisual/>
        <w:tblW w:w="8820" w:type="dxa"/>
        <w:jc w:val="center"/>
        <w:tblLook w:val="01E0"/>
      </w:tblPr>
      <w:tblGrid>
        <w:gridCol w:w="8820"/>
      </w:tblGrid>
      <w:tr w:rsidTr="006B2782">
        <w:tblPrEx>
          <w:tblW w:w="8820" w:type="dxa"/>
          <w:jc w:val="center"/>
          <w:tblLook w:val="01E0"/>
        </w:tblPrEx>
        <w:trPr>
          <w:jc w:val="center"/>
        </w:trPr>
        <w:tc>
          <w:tcPr>
            <w:tcW w:w="8820" w:type="dxa"/>
            <w:shd w:val="clear" w:color="auto" w:fill="auto"/>
          </w:tcPr>
          <w:p w:rsidR="006B2782" w:rsidRPr="006B2782" w:rsidP="006B2782">
            <w:pPr>
              <w:bidi w:val="0"/>
              <w:jc w:val="center"/>
              <w:rPr>
                <w:rFonts w:ascii="David" w:hAnsi="David"/>
                <w:b/>
                <w:bCs/>
                <w:spacing w:val="40"/>
                <w:sz w:val="28"/>
                <w:szCs w:val="28"/>
                <w:u w:val="single"/>
                <w:rtl/>
              </w:rPr>
            </w:pPr>
            <w:bookmarkStart w:id="5" w:name="PsakDin" w:colFirst="0" w:colLast="0"/>
            <w:bookmarkEnd w:id="0"/>
            <w:r w:rsidRPr="006B2782">
              <w:rPr>
                <w:rFonts w:ascii="David" w:hAnsi="David"/>
                <w:b/>
                <w:bCs/>
                <w:spacing w:val="40"/>
                <w:sz w:val="28"/>
                <w:szCs w:val="28"/>
                <w:u w:val="single"/>
                <w:rtl/>
              </w:rPr>
              <w:t>החלטה</w:t>
            </w:r>
          </w:p>
          <w:p w:rsidR="00D44968" w:rsidRPr="006B2782" w:rsidP="006B2782">
            <w:pPr>
              <w:bidi w:val="0"/>
              <w:jc w:val="center"/>
              <w:rPr>
                <w:rFonts w:ascii="David" w:hAnsi="David"/>
                <w:b/>
                <w:bCs/>
                <w:spacing w:val="40"/>
                <w:sz w:val="28"/>
                <w:szCs w:val="28"/>
                <w:u w:val="single"/>
              </w:rPr>
            </w:pPr>
          </w:p>
        </w:tc>
      </w:tr>
    </w:tbl>
    <w:p w:rsidR="00694556" w:rsidRPr="009D317C">
      <w:pPr>
        <w:spacing w:line="360" w:lineRule="auto"/>
        <w:jc w:val="both"/>
        <w:rPr>
          <w:rFonts w:ascii="FrankRuehl" w:hAnsi="FrankRuehl" w:cs="FrankRuehl"/>
          <w:spacing w:val="10"/>
          <w:sz w:val="28"/>
          <w:szCs w:val="28"/>
          <w:rtl/>
        </w:rPr>
      </w:pPr>
      <w:bookmarkStart w:id="6" w:name="NGCSBookmark"/>
      <w:bookmarkEnd w:id="5"/>
      <w:bookmarkEnd w:id="6"/>
    </w:p>
    <w:p w:rsidR="00E00D06" w:rsidRPr="00E00D06" w:rsidP="00E00D06">
      <w:pPr>
        <w:spacing w:line="360" w:lineRule="auto"/>
        <w:ind w:firstLine="357"/>
        <w:jc w:val="both"/>
        <w:rPr>
          <w:rFonts w:ascii="Garamond" w:hAnsi="Garamond" w:cs="FrankRuehl"/>
          <w:spacing w:val="10"/>
          <w:szCs w:val="28"/>
        </w:rPr>
      </w:pPr>
      <w:r w:rsidRPr="00E00D06">
        <w:rPr>
          <w:rFonts w:ascii="Garamond" w:hAnsi="Garamond" w:cs="FrankRuehl"/>
          <w:spacing w:val="10"/>
          <w:szCs w:val="28"/>
          <w:rtl/>
        </w:rPr>
        <w:t xml:space="preserve">לפניי שתי בקשות רשות ערעור שהדיון בהן אוחד, המופנות נגד שלוש החלטות שניתנו על-ידי בית המשפט המחוזי בתל אביב-יפו (השופטת </w:t>
      </w:r>
      <w:r w:rsidRPr="00E00D06">
        <w:rPr>
          <w:rFonts w:ascii="Century" w:hAnsi="Century" w:cs="Miriam"/>
          <w:b/>
          <w:sz w:val="22"/>
          <w:rtl/>
        </w:rPr>
        <w:t>ה' אסיף</w:t>
      </w:r>
      <w:r w:rsidRPr="00E00D06">
        <w:rPr>
          <w:rFonts w:ascii="Garamond" w:hAnsi="Garamond" w:cs="FrankRuehl"/>
          <w:spacing w:val="10"/>
          <w:szCs w:val="28"/>
          <w:rtl/>
        </w:rPr>
        <w:t>) ב</w:t>
      </w:r>
      <w:hyperlink r:id="rId4" w:history="1">
        <w:r w:rsidRPr="006B2782" w:rsidR="006B2782">
          <w:rPr>
            <w:rFonts w:ascii="Garamond" w:hAnsi="Garamond" w:cs="FrankRuehl" w:hint="eastAsia"/>
            <w:color w:val="0000FF"/>
            <w:spacing w:val="10"/>
            <w:szCs w:val="28"/>
            <w:u w:val="single"/>
            <w:rtl/>
          </w:rPr>
          <w:t>פש</w:t>
        </w:r>
        <w:r w:rsidRPr="006B2782" w:rsidR="006B2782">
          <w:rPr>
            <w:rFonts w:ascii="Garamond" w:hAnsi="Garamond" w:cs="FrankRuehl"/>
            <w:color w:val="0000FF"/>
            <w:spacing w:val="10"/>
            <w:szCs w:val="28"/>
            <w:u w:val="single"/>
            <w:rtl/>
          </w:rPr>
          <w:t>"</w:t>
        </w:r>
        <w:r w:rsidRPr="006B2782" w:rsidR="006B2782">
          <w:rPr>
            <w:rFonts w:ascii="Garamond" w:hAnsi="Garamond" w:cs="FrankRuehl" w:hint="eastAsia"/>
            <w:color w:val="0000FF"/>
            <w:spacing w:val="10"/>
            <w:szCs w:val="28"/>
            <w:u w:val="single"/>
            <w:rtl/>
          </w:rPr>
          <w:t>ר</w:t>
        </w:r>
        <w:r w:rsidRPr="006B2782" w:rsidR="006B2782">
          <w:rPr>
            <w:rFonts w:ascii="Garamond" w:hAnsi="Garamond" w:cs="FrankRuehl"/>
            <w:color w:val="0000FF"/>
            <w:spacing w:val="10"/>
            <w:szCs w:val="28"/>
            <w:u w:val="single"/>
            <w:rtl/>
          </w:rPr>
          <w:t xml:space="preserve"> 26246-04-12</w:t>
        </w:r>
      </w:hyperlink>
      <w:r w:rsidRPr="00E00D06">
        <w:rPr>
          <w:rFonts w:ascii="Garamond" w:hAnsi="Garamond" w:cs="FrankRuehl"/>
          <w:spacing w:val="10"/>
          <w:szCs w:val="28"/>
          <w:rtl/>
        </w:rPr>
        <w:t xml:space="preserve">. </w:t>
      </w:r>
      <w:hyperlink r:id="rId5" w:history="1">
        <w:r w:rsidRPr="006B2782" w:rsidR="006B2782">
          <w:rPr>
            <w:rFonts w:ascii="Garamond" w:hAnsi="Garamond" w:cs="FrankRuehl" w:hint="eastAsia"/>
            <w:color w:val="0000FF"/>
            <w:spacing w:val="10"/>
            <w:szCs w:val="28"/>
            <w:u w:val="single"/>
            <w:rtl/>
          </w:rPr>
          <w:t>רע</w:t>
        </w:r>
        <w:r w:rsidRPr="006B2782" w:rsidR="006B2782">
          <w:rPr>
            <w:rFonts w:ascii="Garamond" w:hAnsi="Garamond" w:cs="FrankRuehl"/>
            <w:color w:val="0000FF"/>
            <w:spacing w:val="10"/>
            <w:szCs w:val="28"/>
            <w:u w:val="single"/>
            <w:rtl/>
          </w:rPr>
          <w:t>"</w:t>
        </w:r>
        <w:r w:rsidRPr="006B2782" w:rsidR="006B2782">
          <w:rPr>
            <w:rFonts w:ascii="Garamond" w:hAnsi="Garamond" w:cs="FrankRuehl" w:hint="eastAsia"/>
            <w:color w:val="0000FF"/>
            <w:spacing w:val="10"/>
            <w:szCs w:val="28"/>
            <w:u w:val="single"/>
            <w:rtl/>
          </w:rPr>
          <w:t>א</w:t>
        </w:r>
        <w:r w:rsidRPr="006B2782" w:rsidR="006B2782">
          <w:rPr>
            <w:rFonts w:ascii="Garamond" w:hAnsi="Garamond" w:cs="FrankRuehl"/>
            <w:color w:val="0000FF"/>
            <w:spacing w:val="10"/>
            <w:szCs w:val="28"/>
            <w:u w:val="single"/>
            <w:rtl/>
          </w:rPr>
          <w:t xml:space="preserve"> 24970-11-24</w:t>
        </w:r>
      </w:hyperlink>
      <w:r w:rsidRPr="00E00D06">
        <w:rPr>
          <w:rFonts w:ascii="Garamond" w:hAnsi="Garamond" w:cs="FrankRuehl"/>
          <w:spacing w:val="10"/>
          <w:szCs w:val="28"/>
          <w:rtl/>
        </w:rPr>
        <w:t xml:space="preserve"> </w:t>
      </w:r>
      <w:r w:rsidR="00E56250">
        <w:rPr>
          <w:rFonts w:ascii="Garamond" w:hAnsi="Garamond" w:cs="FrankRuehl" w:hint="cs"/>
          <w:spacing w:val="10"/>
          <w:szCs w:val="28"/>
          <w:rtl/>
        </w:rPr>
        <w:t xml:space="preserve">[נבו] </w:t>
      </w:r>
      <w:r w:rsidRPr="00E00D06">
        <w:rPr>
          <w:rFonts w:ascii="Garamond" w:hAnsi="Garamond" w:cs="FrankRuehl"/>
          <w:spacing w:val="10"/>
          <w:szCs w:val="28"/>
          <w:rtl/>
        </w:rPr>
        <w:t>(להלן</w:t>
      </w:r>
      <w:r w:rsidRPr="00E00D06">
        <w:rPr>
          <w:rFonts w:ascii="Century" w:hAnsi="Century" w:cs="Miriam"/>
          <w:b/>
          <w:sz w:val="22"/>
          <w:rtl/>
        </w:rPr>
        <w:t>:</w:t>
      </w:r>
      <w:r w:rsidRPr="00E00D06">
        <w:rPr>
          <w:rFonts w:ascii="Century" w:hAnsi="Century" w:cs="Miriam" w:hint="cs"/>
          <w:b/>
          <w:sz w:val="22"/>
        </w:rPr>
        <w:t xml:space="preserve"> </w:t>
      </w:r>
      <w:r w:rsidRPr="00E00D06">
        <w:rPr>
          <w:rFonts w:ascii="Century" w:hAnsi="Century" w:cs="Miriam"/>
          <w:b/>
          <w:sz w:val="22"/>
          <w:rtl/>
        </w:rPr>
        <w:t>בקשת רשות הערעור הראשונה</w:t>
      </w:r>
      <w:r w:rsidRPr="00E00D06">
        <w:rPr>
          <w:rFonts w:ascii="Garamond" w:hAnsi="Garamond" w:cs="FrankRuehl"/>
          <w:spacing w:val="10"/>
          <w:szCs w:val="28"/>
          <w:rtl/>
        </w:rPr>
        <w:t xml:space="preserve">) מכוונת נגד החלטות בית המשפט המחוזי מיום </w:t>
      </w:r>
      <w:r w:rsidRPr="00E00D06">
        <w:rPr>
          <w:rFonts w:ascii="Garamond" w:hAnsi="Garamond" w:cs="FrankRuehl"/>
          <w:spacing w:val="10"/>
          <w:szCs w:val="28"/>
          <w:rtl/>
        </w:rPr>
        <w:t>10.9.2024 ומיום 16.9.2024; ו</w:t>
      </w:r>
      <w:hyperlink r:id="rId6" w:history="1">
        <w:r w:rsidRPr="006B2782" w:rsidR="006B2782">
          <w:rPr>
            <w:rFonts w:ascii="Garamond" w:hAnsi="Garamond" w:cs="FrankRuehl" w:hint="eastAsia"/>
            <w:color w:val="0000FF"/>
            <w:spacing w:val="10"/>
            <w:szCs w:val="28"/>
            <w:u w:val="single"/>
            <w:rtl/>
          </w:rPr>
          <w:t>רע</w:t>
        </w:r>
        <w:r w:rsidRPr="006B2782" w:rsidR="006B2782">
          <w:rPr>
            <w:rFonts w:ascii="Garamond" w:hAnsi="Garamond" w:cs="FrankRuehl"/>
            <w:color w:val="0000FF"/>
            <w:spacing w:val="10"/>
            <w:szCs w:val="28"/>
            <w:u w:val="single"/>
            <w:rtl/>
          </w:rPr>
          <w:t>"</w:t>
        </w:r>
        <w:r w:rsidRPr="006B2782" w:rsidR="006B2782">
          <w:rPr>
            <w:rFonts w:ascii="Garamond" w:hAnsi="Garamond" w:cs="FrankRuehl" w:hint="eastAsia"/>
            <w:color w:val="0000FF"/>
            <w:spacing w:val="10"/>
            <w:szCs w:val="28"/>
            <w:u w:val="single"/>
            <w:rtl/>
          </w:rPr>
          <w:t>א</w:t>
        </w:r>
        <w:r w:rsidRPr="006B2782" w:rsidR="006B2782">
          <w:rPr>
            <w:rFonts w:ascii="Garamond" w:hAnsi="Garamond" w:cs="FrankRuehl"/>
            <w:color w:val="0000FF"/>
            <w:spacing w:val="10"/>
            <w:szCs w:val="28"/>
            <w:u w:val="single"/>
            <w:rtl/>
          </w:rPr>
          <w:t xml:space="preserve"> 69026-0</w:t>
        </w:r>
        <w:bookmarkStart w:id="7" w:name="_Hlt207266277"/>
        <w:r w:rsidRPr="006B2782" w:rsidR="006B2782">
          <w:rPr>
            <w:rFonts w:ascii="Garamond" w:hAnsi="Garamond" w:cs="FrankRuehl"/>
            <w:color w:val="0000FF"/>
            <w:spacing w:val="10"/>
            <w:szCs w:val="28"/>
            <w:u w:val="single"/>
            <w:rtl/>
          </w:rPr>
          <w:t>3</w:t>
        </w:r>
        <w:bookmarkEnd w:id="7"/>
        <w:r w:rsidRPr="006B2782" w:rsidR="006B2782">
          <w:rPr>
            <w:rFonts w:ascii="Garamond" w:hAnsi="Garamond" w:cs="FrankRuehl"/>
            <w:color w:val="0000FF"/>
            <w:spacing w:val="10"/>
            <w:szCs w:val="28"/>
            <w:u w:val="single"/>
            <w:rtl/>
          </w:rPr>
          <w:t>-25</w:t>
        </w:r>
      </w:hyperlink>
      <w:r w:rsidRPr="00E00D06">
        <w:rPr>
          <w:rFonts w:ascii="Garamond" w:hAnsi="Garamond" w:cs="FrankRuehl"/>
          <w:spacing w:val="10"/>
          <w:szCs w:val="28"/>
          <w:rtl/>
        </w:rPr>
        <w:t xml:space="preserve"> (להלן: </w:t>
      </w:r>
      <w:r w:rsidRPr="00E00D06">
        <w:rPr>
          <w:rFonts w:ascii="Century" w:hAnsi="Century" w:cs="Miriam"/>
          <w:b/>
          <w:sz w:val="22"/>
          <w:rtl/>
        </w:rPr>
        <w:t>בקשת רשות הערעור השנייה</w:t>
      </w:r>
      <w:r w:rsidRPr="00E00D06">
        <w:rPr>
          <w:rFonts w:ascii="Garamond" w:hAnsi="Garamond" w:cs="FrankRuehl"/>
          <w:spacing w:val="10"/>
          <w:szCs w:val="28"/>
          <w:rtl/>
        </w:rPr>
        <w:t xml:space="preserve">) מכוונת נגד החלטה מיום 28.1.2025. </w:t>
      </w:r>
    </w:p>
    <w:p w:rsidR="00E00D06" w:rsidP="00E00D06">
      <w:pPr>
        <w:jc w:val="both"/>
        <w:rPr>
          <w:rtl/>
        </w:rPr>
      </w:pPr>
    </w:p>
    <w:p w:rsidR="00704629" w:rsidP="00E00D06">
      <w:pPr>
        <w:jc w:val="both"/>
        <w:rPr>
          <w:rFonts w:cs="Miriam"/>
          <w:b/>
          <w:sz w:val="22"/>
          <w:rtl/>
        </w:rPr>
      </w:pPr>
    </w:p>
    <w:p w:rsidR="00E00D06" w:rsidP="00E00D06">
      <w:pPr>
        <w:jc w:val="both"/>
        <w:rPr>
          <w:rFonts w:cs="Miriam"/>
          <w:b/>
          <w:sz w:val="22"/>
          <w:rtl/>
        </w:rPr>
      </w:pPr>
      <w:r>
        <w:rPr>
          <w:rFonts w:cs="Miriam"/>
          <w:b/>
          <w:sz w:val="22"/>
          <w:rtl/>
        </w:rPr>
        <w:t>רקע עובדתי</w:t>
      </w:r>
    </w:p>
    <w:p w:rsidR="00E00D06" w:rsidP="00E00D06">
      <w:pPr>
        <w:jc w:val="both"/>
        <w:rPr>
          <w:rFonts w:cs="Miriam"/>
          <w:b/>
          <w:sz w:val="22"/>
          <w:rtl/>
        </w:rPr>
      </w:pPr>
    </w:p>
    <w:p w:rsidR="00E00D06" w:rsidP="00E00D06">
      <w:pPr>
        <w:pStyle w:val="Ruller40"/>
        <w:rPr>
          <w:rtl/>
        </w:rPr>
      </w:pPr>
      <w:r>
        <w:rPr>
          <w:rtl/>
        </w:rPr>
        <w:t>במוקד הדיון, סכסוך ארוך שנים בין המבקש לבין אָחִיו, המשיב 1. בקליפת אגוז, המבקש ואחיו הקימו במשותף את חברת הב</w:t>
      </w:r>
      <w:r>
        <w:rPr>
          <w:rtl/>
        </w:rPr>
        <w:t xml:space="preserve">נייה המעמיס בע"מ (להלן: </w:t>
      </w:r>
      <w:r>
        <w:rPr>
          <w:rFonts w:ascii="Century" w:hAnsi="Century" w:cs="Miriam"/>
          <w:b/>
          <w:spacing w:val="0"/>
          <w:sz w:val="22"/>
          <w:szCs w:val="24"/>
          <w:rtl/>
        </w:rPr>
        <w:t>המעמיס</w:t>
      </w:r>
      <w:r>
        <w:rPr>
          <w:rtl/>
        </w:rPr>
        <w:t xml:space="preserve">). למעמיס נוצרו חובות לחברת אקרשטיין בע"מ ולחברת נטפים (להלן בהתאמה: </w:t>
      </w:r>
      <w:r>
        <w:rPr>
          <w:rFonts w:ascii="Century" w:hAnsi="Century" w:cs="Miriam"/>
          <w:b/>
          <w:spacing w:val="0"/>
          <w:sz w:val="22"/>
          <w:szCs w:val="24"/>
          <w:rtl/>
        </w:rPr>
        <w:t>אקרשטיין</w:t>
      </w:r>
      <w:r>
        <w:rPr>
          <w:rtl/>
        </w:rPr>
        <w:t xml:space="preserve"> ו-</w:t>
      </w:r>
      <w:r>
        <w:rPr>
          <w:rFonts w:ascii="Century" w:hAnsi="Century" w:cs="Miriam"/>
          <w:b/>
          <w:spacing w:val="0"/>
          <w:sz w:val="22"/>
          <w:szCs w:val="24"/>
          <w:rtl/>
        </w:rPr>
        <w:t>נטפים</w:t>
      </w:r>
      <w:r>
        <w:rPr>
          <w:rtl/>
        </w:rPr>
        <w:t xml:space="preserve">), להם ערב המבקש. לימים, התגלע סכסוך מר בין האחים, בגינו ניהלו השניים הליכים משפטיים מרובים; המעמיס נקלעה לקשיים כלכליים, ונפתחו הליכים לפירוקה. נגד המעמיס והמבקש, כמי שערב לחובותיה, נפתחו הליכי הוצאה לפועל: בגין שטר חוב שנמסר לאקרשטיין נפתח בשנת 2000 </w:t>
      </w:r>
      <w:r w:rsidRPr="00E56250" w:rsidR="006B2782">
        <w:rPr>
          <w:rFonts w:hint="eastAsia"/>
          <w:rtl/>
        </w:rPr>
        <w:t>תיק</w:t>
      </w:r>
      <w:r w:rsidRPr="00E56250" w:rsidR="006B2782">
        <w:rPr>
          <w:rtl/>
        </w:rPr>
        <w:t xml:space="preserve"> </w:t>
      </w:r>
      <w:r w:rsidRPr="00E56250" w:rsidR="006B2782">
        <w:rPr>
          <w:rFonts w:hint="eastAsia"/>
          <w:rtl/>
        </w:rPr>
        <w:t>הוצל</w:t>
      </w:r>
      <w:r w:rsidRPr="00E56250" w:rsidR="006B2782">
        <w:rPr>
          <w:rtl/>
        </w:rPr>
        <w:t>"</w:t>
      </w:r>
      <w:r w:rsidRPr="00E56250" w:rsidR="006B2782">
        <w:rPr>
          <w:rFonts w:hint="eastAsia"/>
          <w:rtl/>
        </w:rPr>
        <w:t>פ</w:t>
      </w:r>
      <w:r w:rsidRPr="00E56250" w:rsidR="006B2782">
        <w:rPr>
          <w:rtl/>
        </w:rPr>
        <w:t xml:space="preserve"> 26-09</w:t>
      </w:r>
      <w:r>
        <w:rPr>
          <w:rtl/>
        </w:rPr>
        <w:t>182-00-0; ובגין החוב לנטפים נפתח בשנת 2001 תיק הוצל"</w:t>
      </w:r>
      <w:r w:rsidRPr="00E56250" w:rsidR="006B2782">
        <w:rPr>
          <w:rFonts w:hint="eastAsia"/>
          <w:rtl/>
        </w:rPr>
        <w:t>פ</w:t>
      </w:r>
      <w:r w:rsidRPr="00E56250" w:rsidR="006B2782">
        <w:rPr>
          <w:rtl/>
        </w:rPr>
        <w:t xml:space="preserve"> 34-03</w:t>
      </w:r>
      <w:r>
        <w:rPr>
          <w:rtl/>
        </w:rPr>
        <w:t xml:space="preserve">278-01-8 (להלן בהתאמה: </w:t>
      </w:r>
      <w:r>
        <w:rPr>
          <w:rFonts w:ascii="Century" w:hAnsi="Century" w:cs="Miriam"/>
          <w:b/>
          <w:spacing w:val="0"/>
          <w:sz w:val="22"/>
          <w:szCs w:val="24"/>
          <w:rtl/>
        </w:rPr>
        <w:t>הליך אקרשטיין</w:t>
      </w:r>
      <w:r>
        <w:rPr>
          <w:rtl/>
        </w:rPr>
        <w:t xml:space="preserve">, </w:t>
      </w:r>
      <w:r>
        <w:rPr>
          <w:rFonts w:ascii="Century" w:hAnsi="Century" w:cs="Miriam"/>
          <w:b/>
          <w:spacing w:val="0"/>
          <w:sz w:val="22"/>
          <w:szCs w:val="24"/>
          <w:rtl/>
        </w:rPr>
        <w:t>הליך נטפים</w:t>
      </w:r>
      <w:r>
        <w:rPr>
          <w:rtl/>
        </w:rPr>
        <w:t xml:space="preserve"> וביחד: </w:t>
      </w:r>
      <w:r>
        <w:rPr>
          <w:rFonts w:ascii="Century" w:hAnsi="Century" w:cs="Miriam"/>
          <w:b/>
          <w:spacing w:val="0"/>
          <w:sz w:val="22"/>
          <w:szCs w:val="24"/>
          <w:rtl/>
        </w:rPr>
        <w:t>הליכי ההוצל"פ</w:t>
      </w:r>
      <w:r>
        <w:rPr>
          <w:rtl/>
        </w:rPr>
        <w:t xml:space="preserve">). בחלוף מספר שנים, אקרשטיין ונטפים המחו את נשייתן בהליכי ההוצל"פ למשיבה 2, חברה הקשורה למשיב 1 (להלן יחד: </w:t>
      </w:r>
      <w:r>
        <w:rPr>
          <w:rFonts w:ascii="Century" w:hAnsi="Century" w:cs="Miriam"/>
          <w:b/>
          <w:spacing w:val="0"/>
          <w:sz w:val="22"/>
          <w:szCs w:val="24"/>
          <w:rtl/>
        </w:rPr>
        <w:t>המשיבים</w:t>
      </w:r>
      <w:r>
        <w:rPr>
          <w:rtl/>
        </w:rPr>
        <w:t>).</w:t>
      </w:r>
      <w:r>
        <w:rPr>
          <w:rtl/>
        </w:rPr>
        <w:t xml:space="preserve"> </w:t>
      </w:r>
      <w:r>
        <w:rPr>
          <w:rtl/>
        </w:rPr>
        <w:br/>
      </w:r>
    </w:p>
    <w:p w:rsidR="00E00D06" w:rsidP="00E00D06">
      <w:pPr>
        <w:pStyle w:val="Ruller40"/>
      </w:pPr>
      <w:r>
        <w:rPr>
          <w:rtl/>
        </w:rPr>
        <w:t xml:space="preserve">בשנת 2012 נפתח הליך פשיטת רגל נגד המבקש, הוא ההליך שבמוקד ענייננו (להלן: </w:t>
      </w:r>
      <w:r>
        <w:rPr>
          <w:rFonts w:ascii="Century" w:hAnsi="Century" w:cs="Miriam"/>
          <w:b/>
          <w:spacing w:val="0"/>
          <w:sz w:val="22"/>
          <w:szCs w:val="24"/>
          <w:rtl/>
        </w:rPr>
        <w:t>הליך הפש"ר</w:t>
      </w:r>
      <w:r>
        <w:rPr>
          <w:rtl/>
        </w:rPr>
        <w:t>). המבקש הוכרז כפושט רגל, המשיב 3 מונה כנאמן על נכסיו (להלן:</w:t>
      </w:r>
      <w:r>
        <w:rPr>
          <w:rFonts w:hint="cs"/>
        </w:rPr>
        <w:t xml:space="preserve"> </w:t>
      </w:r>
      <w:r>
        <w:rPr>
          <w:rFonts w:ascii="Century" w:hAnsi="Century" w:cs="Miriam"/>
          <w:b/>
          <w:spacing w:val="0"/>
          <w:sz w:val="22"/>
          <w:szCs w:val="24"/>
          <w:rtl/>
        </w:rPr>
        <w:t>הנאמן</w:t>
      </w:r>
      <w:r>
        <w:rPr>
          <w:rtl/>
        </w:rPr>
        <w:t>), והוגשו תביעות חוב במסגרת ההליך, בין היתר מטעם המשיבים. ביום 5.5.2016 ניתן למבקש צו הפטר מחובותיו. עוד</w:t>
      </w:r>
      <w:r>
        <w:rPr>
          <w:rtl/>
        </w:rPr>
        <w:t xml:space="preserve"> קודם להחלטה זו, הורה בית המשפט המחוזי (סגן הנשיאה </w:t>
      </w:r>
      <w:r>
        <w:rPr>
          <w:rFonts w:ascii="Century" w:hAnsi="Century" w:cs="Miriam"/>
          <w:b/>
          <w:spacing w:val="0"/>
          <w:sz w:val="22"/>
          <w:szCs w:val="24"/>
          <w:rtl/>
        </w:rPr>
        <w:t>א' אורנשטיין</w:t>
      </w:r>
      <w:r>
        <w:rPr>
          <w:rtl/>
        </w:rPr>
        <w:t>), בהחלטותיו מן הימים 13.1.2016 ו-16.3.2016, כי לאור מורכבות תביעות החוב של המשיבים, אלה יוכרעו במסגרת הליך נפרד ועצמאי. בהמשך לכך קבע בית המשפט המחוזי בצו ההפטר, כי החובות למשיבים "יוחרגו" מתח</w:t>
      </w:r>
      <w:r>
        <w:rPr>
          <w:rtl/>
        </w:rPr>
        <w:t xml:space="preserve">ולת הצו; וכי ככל שתביעות החוב יתקבלו, יהיו המשיבים זכאים לדיבידנד. בהתאם לכך, הורה על עיכוב מחצית </w:t>
      </w:r>
      <w:r>
        <w:rPr>
          <w:rtl/>
        </w:rPr>
        <w:t>מכספי קופת הנשייה על מנת להבטיח את תשלום הדיבידנד למשיבים. בפסק דינו של בית משפט זה מיום 9.4.2017 בערעור שהוגש על החלטות אלה, הובהר כי מדובר בהחרגה דיונית בלב</w:t>
      </w:r>
      <w:r>
        <w:rPr>
          <w:rtl/>
        </w:rPr>
        <w:t xml:space="preserve">ד של תביעות החוב, כי החוב הוא בר תביעה, ולא הוחרג מהותית מתחולת צו ההפטר, אלא הוחרג </w:t>
      </w:r>
      <w:r>
        <w:rPr>
          <w:rFonts w:ascii="Century" w:hAnsi="Century" w:cs="Miriam"/>
          <w:b/>
          <w:spacing w:val="0"/>
          <w:sz w:val="22"/>
          <w:szCs w:val="24"/>
          <w:rtl/>
        </w:rPr>
        <w:t>"בחינת 'הסמכת' בית המשפט האזרחי לדין כאילו היה בית המשפט של פש"ר או המנהל המיוחד"</w:t>
      </w:r>
      <w:r>
        <w:rPr>
          <w:rtl/>
        </w:rPr>
        <w:t xml:space="preserve"> (</w:t>
      </w:r>
      <w:hyperlink r:id="rId7" w:history="1">
        <w:r w:rsidRPr="006B2782" w:rsidR="006B2782">
          <w:rPr>
            <w:rFonts w:hint="eastAsia"/>
            <w:color w:val="0000FF"/>
            <w:u w:val="single"/>
            <w:rtl/>
          </w:rPr>
          <w:t>ע</w:t>
        </w:r>
        <w:r w:rsidRPr="006B2782" w:rsidR="006B2782">
          <w:rPr>
            <w:color w:val="0000FF"/>
            <w:u w:val="single"/>
            <w:rtl/>
          </w:rPr>
          <w:t>"</w:t>
        </w:r>
        <w:r w:rsidRPr="006B2782" w:rsidR="006B2782">
          <w:rPr>
            <w:rFonts w:hint="eastAsia"/>
            <w:color w:val="0000FF"/>
            <w:u w:val="single"/>
            <w:rtl/>
          </w:rPr>
          <w:t>א</w:t>
        </w:r>
        <w:r w:rsidRPr="006B2782" w:rsidR="006B2782">
          <w:rPr>
            <w:color w:val="0000FF"/>
            <w:u w:val="single"/>
            <w:rtl/>
          </w:rPr>
          <w:t xml:space="preserve"> 35</w:t>
        </w:r>
        <w:bookmarkStart w:id="8" w:name="_Hlt207266292"/>
        <w:r w:rsidRPr="006B2782" w:rsidR="006B2782">
          <w:rPr>
            <w:color w:val="0000FF"/>
            <w:u w:val="single"/>
            <w:rtl/>
          </w:rPr>
          <w:t>8</w:t>
        </w:r>
        <w:bookmarkEnd w:id="8"/>
        <w:r w:rsidRPr="006B2782" w:rsidR="006B2782">
          <w:rPr>
            <w:color w:val="0000FF"/>
            <w:u w:val="single"/>
            <w:rtl/>
          </w:rPr>
          <w:t>0/16</w:t>
        </w:r>
      </w:hyperlink>
      <w:r>
        <w:rPr>
          <w:rtl/>
        </w:rPr>
        <w:t xml:space="preserve">, </w:t>
      </w:r>
      <w:r w:rsidR="00E56250">
        <w:rPr>
          <w:rFonts w:hint="cs"/>
          <w:rtl/>
        </w:rPr>
        <w:t xml:space="preserve">[נבו] </w:t>
      </w:r>
      <w:r>
        <w:rPr>
          <w:rtl/>
        </w:rPr>
        <w:t xml:space="preserve">להלן: </w:t>
      </w:r>
      <w:r>
        <w:rPr>
          <w:rFonts w:ascii="Century" w:hAnsi="Century" w:cs="Miriam"/>
          <w:b/>
          <w:spacing w:val="0"/>
          <w:sz w:val="22"/>
          <w:szCs w:val="24"/>
          <w:rtl/>
        </w:rPr>
        <w:t>פסיקת העליון</w:t>
      </w:r>
      <w:r>
        <w:rPr>
          <w:rtl/>
        </w:rPr>
        <w:t xml:space="preserve">). </w:t>
      </w:r>
    </w:p>
    <w:p w:rsidR="00E00D06" w:rsidP="00E00D06">
      <w:pPr>
        <w:pStyle w:val="Ruller4"/>
        <w:rPr>
          <w:rtl/>
        </w:rPr>
      </w:pPr>
    </w:p>
    <w:p w:rsidR="00E00D06" w:rsidP="00E00D06">
      <w:pPr>
        <w:pStyle w:val="Ruller40"/>
      </w:pPr>
      <w:r>
        <w:rPr>
          <w:rtl/>
        </w:rPr>
        <w:t>ביום 23.3.2017 התיר בית המשפט המחוזי למשיבים "לשפעל" את הליכי ההוצל"פ לצורך דיון בתביעות החוב, תוך שלנאמן ולמבקש נשמרה הזכות לנקוט בכל הליך, לרבות הגשת התנגדויות. בהמשך, בהתאם להיתר שניתן, הוגשו תביעות עצמאיות לבתי המשפט האזרחיים. תביעות אלה הוכרעו בפ</w:t>
      </w:r>
      <w:r>
        <w:rPr>
          <w:rtl/>
        </w:rPr>
        <w:t>סק דינו של בית המשפט המחוזי בתל אביב-יפו מיום 28.12.2022 ב</w:t>
      </w:r>
      <w:hyperlink r:id="rId8" w:history="1">
        <w:r w:rsidRPr="006B2782" w:rsidR="006B2782">
          <w:rPr>
            <w:rFonts w:hint="eastAsia"/>
            <w:color w:val="0000FF"/>
            <w:u w:val="single"/>
            <w:rtl/>
          </w:rPr>
          <w:t>ע</w:t>
        </w:r>
        <w:r w:rsidRPr="006B2782" w:rsidR="006B2782">
          <w:rPr>
            <w:color w:val="0000FF"/>
            <w:u w:val="single"/>
            <w:rtl/>
          </w:rPr>
          <w:t>"</w:t>
        </w:r>
        <w:r w:rsidRPr="006B2782" w:rsidR="006B2782">
          <w:rPr>
            <w:rFonts w:hint="eastAsia"/>
            <w:color w:val="0000FF"/>
            <w:u w:val="single"/>
            <w:rtl/>
          </w:rPr>
          <w:t>א</w:t>
        </w:r>
        <w:r w:rsidRPr="006B2782" w:rsidR="006B2782">
          <w:rPr>
            <w:color w:val="0000FF"/>
            <w:u w:val="single"/>
            <w:rtl/>
          </w:rPr>
          <w:t xml:space="preserve"> 65904-06-</w:t>
        </w:r>
        <w:bookmarkStart w:id="9" w:name="_Hlt207266390"/>
        <w:r w:rsidRPr="006B2782" w:rsidR="006B2782">
          <w:rPr>
            <w:color w:val="0000FF"/>
            <w:u w:val="single"/>
            <w:rtl/>
          </w:rPr>
          <w:t>2</w:t>
        </w:r>
        <w:bookmarkEnd w:id="9"/>
        <w:r w:rsidRPr="006B2782" w:rsidR="006B2782">
          <w:rPr>
            <w:color w:val="0000FF"/>
            <w:u w:val="single"/>
            <w:rtl/>
          </w:rPr>
          <w:t>1</w:t>
        </w:r>
      </w:hyperlink>
      <w:r>
        <w:rPr>
          <w:rtl/>
        </w:rPr>
        <w:t xml:space="preserve">, </w:t>
      </w:r>
      <w:r w:rsidR="00E56250">
        <w:rPr>
          <w:rFonts w:hint="cs"/>
          <w:rtl/>
        </w:rPr>
        <w:t xml:space="preserve">[נבו] </w:t>
      </w:r>
      <w:r>
        <w:rPr>
          <w:rtl/>
        </w:rPr>
        <w:t xml:space="preserve">שעסק בחוב לאקרשטיין (להלן: </w:t>
      </w:r>
      <w:r>
        <w:rPr>
          <w:rFonts w:ascii="Century" w:hAnsi="Century" w:cs="Miriam"/>
          <w:b/>
          <w:spacing w:val="0"/>
          <w:sz w:val="22"/>
          <w:szCs w:val="24"/>
          <w:rtl/>
        </w:rPr>
        <w:t>פסק הדין בעניין אקרשטיין</w:t>
      </w:r>
      <w:r>
        <w:rPr>
          <w:rtl/>
        </w:rPr>
        <w:t>); ובפסק דינו של בית משפט השלום מיום 12.10.2023 ב</w:t>
      </w:r>
      <w:hyperlink r:id="rId9" w:history="1">
        <w:r w:rsidRPr="006B2782" w:rsidR="006B2782">
          <w:rPr>
            <w:rFonts w:hint="eastAsia"/>
            <w:color w:val="0000FF"/>
            <w:u w:val="single"/>
            <w:rtl/>
          </w:rPr>
          <w:t>ת</w:t>
        </w:r>
        <w:r w:rsidRPr="006B2782" w:rsidR="006B2782">
          <w:rPr>
            <w:color w:val="0000FF"/>
            <w:u w:val="single"/>
            <w:rtl/>
          </w:rPr>
          <w:t>"</w:t>
        </w:r>
        <w:r w:rsidRPr="006B2782" w:rsidR="006B2782">
          <w:rPr>
            <w:rFonts w:hint="eastAsia"/>
            <w:color w:val="0000FF"/>
            <w:u w:val="single"/>
            <w:rtl/>
          </w:rPr>
          <w:t>א</w:t>
        </w:r>
        <w:r w:rsidRPr="006B2782" w:rsidR="006B2782">
          <w:rPr>
            <w:color w:val="0000FF"/>
            <w:u w:val="single"/>
            <w:rtl/>
          </w:rPr>
          <w:t xml:space="preserve"> 26854-06</w:t>
        </w:r>
        <w:bookmarkStart w:id="10" w:name="_Hlt207266395"/>
        <w:r w:rsidRPr="006B2782" w:rsidR="006B2782">
          <w:rPr>
            <w:color w:val="0000FF"/>
            <w:u w:val="single"/>
            <w:rtl/>
          </w:rPr>
          <w:t>-</w:t>
        </w:r>
        <w:bookmarkEnd w:id="10"/>
        <w:r w:rsidRPr="006B2782" w:rsidR="006B2782">
          <w:rPr>
            <w:color w:val="0000FF"/>
            <w:u w:val="single"/>
            <w:rtl/>
          </w:rPr>
          <w:t>18</w:t>
        </w:r>
      </w:hyperlink>
      <w:r>
        <w:rPr>
          <w:rtl/>
        </w:rPr>
        <w:t xml:space="preserve">, </w:t>
      </w:r>
      <w:r w:rsidR="00E56250">
        <w:rPr>
          <w:rFonts w:hint="cs"/>
          <w:rtl/>
        </w:rPr>
        <w:t xml:space="preserve">[נבו] </w:t>
      </w:r>
      <w:r>
        <w:rPr>
          <w:rtl/>
        </w:rPr>
        <w:t xml:space="preserve">שעסק בחוב לנטפים (להלן ביחד: </w:t>
      </w:r>
      <w:r>
        <w:rPr>
          <w:rFonts w:ascii="Century" w:hAnsi="Century" w:cs="Miriam"/>
          <w:b/>
          <w:spacing w:val="0"/>
          <w:sz w:val="22"/>
          <w:szCs w:val="24"/>
          <w:rtl/>
        </w:rPr>
        <w:t>פסקי הדין</w:t>
      </w:r>
      <w:r>
        <w:rPr>
          <w:rtl/>
        </w:rPr>
        <w:t>). באשר לחוב לאקרשטיין על-פי שטר החוב, נקבע כי זה מוגבל לסך של 92,500 ₪ בתוספת ריבית והצמדה החל מיום 7.11.2007 בתוספת 8.5%+מע"מ; כי "</w:t>
      </w:r>
      <w:r>
        <w:rPr>
          <w:rFonts w:ascii="Century" w:hAnsi="Century" w:cs="Miriam"/>
          <w:b/>
          <w:spacing w:val="0"/>
          <w:sz w:val="22"/>
          <w:szCs w:val="24"/>
          <w:rtl/>
        </w:rPr>
        <w:t xml:space="preserve">הטענות הנטענות בדבר תשלומים כאלה </w:t>
      </w:r>
      <w:r>
        <w:rPr>
          <w:rFonts w:ascii="Century" w:hAnsi="Century" w:cs="Miriam"/>
          <w:b/>
          <w:spacing w:val="0"/>
          <w:sz w:val="22"/>
          <w:szCs w:val="24"/>
          <w:rtl/>
        </w:rPr>
        <w:t>ואחרים על חשבון השטר, תתבררנה בלשכת ההוצל"פ</w:t>
      </w:r>
      <w:r>
        <w:rPr>
          <w:rtl/>
        </w:rPr>
        <w:t>"; כי המשיבה 2 תישא בהוצאות המבקש בסך 30,000 ₪;</w:t>
      </w:r>
      <w:r>
        <w:rPr>
          <w:rFonts w:hint="cs"/>
        </w:rPr>
        <w:t xml:space="preserve"> </w:t>
      </w:r>
      <w:r>
        <w:rPr>
          <w:rtl/>
        </w:rPr>
        <w:t xml:space="preserve"> וכי יחולו על סכום החוב </w:t>
      </w:r>
      <w:r>
        <w:rPr>
          <w:rFonts w:ascii="Century" w:hAnsi="Century" w:cs="Miriam"/>
          <w:b/>
          <w:spacing w:val="0"/>
          <w:sz w:val="22"/>
          <w:szCs w:val="24"/>
          <w:rtl/>
        </w:rPr>
        <w:t xml:space="preserve">"ההסדרים לפי </w:t>
      </w:r>
      <w:hyperlink r:id="rId10" w:history="1">
        <w:r w:rsidRPr="006B2782" w:rsidR="006B2782">
          <w:rPr>
            <w:rFonts w:ascii="Century" w:hAnsi="Century" w:cs="Miriam" w:hint="eastAsia"/>
            <w:b/>
            <w:color w:val="0000FF"/>
            <w:spacing w:val="0"/>
            <w:sz w:val="22"/>
            <w:szCs w:val="24"/>
            <w:u w:val="single"/>
            <w:rtl/>
          </w:rPr>
          <w:t>חוק</w:t>
        </w:r>
        <w:r w:rsidRPr="006B2782" w:rsidR="006B2782">
          <w:rPr>
            <w:rFonts w:ascii="Century" w:hAnsi="Century" w:cs="Miriam"/>
            <w:b/>
            <w:color w:val="0000FF"/>
            <w:spacing w:val="0"/>
            <w:sz w:val="22"/>
            <w:szCs w:val="24"/>
            <w:u w:val="single"/>
            <w:rtl/>
          </w:rPr>
          <w:t xml:space="preserve"> </w:t>
        </w:r>
        <w:r w:rsidRPr="006B2782" w:rsidR="006B2782">
          <w:rPr>
            <w:rFonts w:ascii="Century" w:hAnsi="Century" w:cs="Miriam" w:hint="eastAsia"/>
            <w:b/>
            <w:color w:val="0000FF"/>
            <w:spacing w:val="0"/>
            <w:sz w:val="22"/>
            <w:szCs w:val="24"/>
            <w:u w:val="single"/>
            <w:rtl/>
          </w:rPr>
          <w:t>ההוצאה</w:t>
        </w:r>
        <w:r w:rsidRPr="006B2782" w:rsidR="006B2782">
          <w:rPr>
            <w:rFonts w:ascii="Century" w:hAnsi="Century" w:cs="Miriam"/>
            <w:b/>
            <w:color w:val="0000FF"/>
            <w:spacing w:val="0"/>
            <w:sz w:val="22"/>
            <w:szCs w:val="24"/>
            <w:u w:val="single"/>
            <w:rtl/>
          </w:rPr>
          <w:t xml:space="preserve"> </w:t>
        </w:r>
        <w:r w:rsidRPr="006B2782" w:rsidR="006B2782">
          <w:rPr>
            <w:rFonts w:ascii="Century" w:hAnsi="Century" w:cs="Miriam" w:hint="eastAsia"/>
            <w:b/>
            <w:color w:val="0000FF"/>
            <w:spacing w:val="0"/>
            <w:sz w:val="22"/>
            <w:szCs w:val="24"/>
            <w:u w:val="single"/>
            <w:rtl/>
          </w:rPr>
          <w:t>לפועל</w:t>
        </w:r>
      </w:hyperlink>
      <w:r>
        <w:rPr>
          <w:rFonts w:ascii="Century" w:hAnsi="Century" w:cs="Miriam"/>
          <w:b/>
          <w:spacing w:val="0"/>
          <w:sz w:val="22"/>
          <w:szCs w:val="24"/>
          <w:rtl/>
        </w:rPr>
        <w:t>"</w:t>
      </w:r>
      <w:r>
        <w:rPr>
          <w:rtl/>
        </w:rPr>
        <w:t>. באשר לחוב לנטפים, נקבע כי זה עומד על סך של 45,000 ₪ בתוספת רי</w:t>
      </w:r>
      <w:r>
        <w:rPr>
          <w:rtl/>
        </w:rPr>
        <w:t xml:space="preserve">בית והצמדה כחוק מיום 24.5.2010; כי </w:t>
      </w:r>
      <w:r>
        <w:rPr>
          <w:rFonts w:ascii="Century" w:hAnsi="Century" w:cs="Miriam"/>
          <w:b/>
          <w:spacing w:val="0"/>
          <w:sz w:val="22"/>
          <w:szCs w:val="24"/>
          <w:rtl/>
        </w:rPr>
        <w:t>"הטענות לקיזוז מע"מ ותשלומים אחרים יתבררו בפני הנאמן בהליך הפש"ר או לחילופין במסגרת תיק ההוצל"פ, בהתאם לדין"</w:t>
      </w:r>
      <w:r>
        <w:rPr>
          <w:rtl/>
        </w:rPr>
        <w:t xml:space="preserve">; וכי המשיבים יישאו בהוצאות המבקש בסך של 15,000 ₪. </w:t>
      </w:r>
      <w:r>
        <w:rPr>
          <w:rtl/>
        </w:rPr>
        <w:br/>
      </w:r>
    </w:p>
    <w:p w:rsidR="00E00D06" w:rsidP="00E00D06">
      <w:pPr>
        <w:pStyle w:val="Ruller40"/>
      </w:pPr>
      <w:r>
        <w:rPr>
          <w:rtl/>
        </w:rPr>
        <w:t xml:space="preserve">ביום 5.6.2023, הגיש המבקש בקשה לבית המשפט המחוזי בגדרי הליך </w:t>
      </w:r>
      <w:r>
        <w:rPr>
          <w:rtl/>
        </w:rPr>
        <w:t xml:space="preserve">הפש"ר, ובה ביקש </w:t>
      </w:r>
      <w:r>
        <w:rPr>
          <w:rFonts w:ascii="Century" w:hAnsi="Century" w:cs="Miriam"/>
          <w:b/>
          <w:spacing w:val="0"/>
          <w:sz w:val="22"/>
          <w:szCs w:val="24"/>
          <w:rtl/>
        </w:rPr>
        <w:t xml:space="preserve">"להורות לנאמן לבצע את החישובים בגין הכספים </w:t>
      </w:r>
      <w:r>
        <w:rPr>
          <w:rFonts w:ascii="Century" w:hAnsi="Century" w:cs="Miriam"/>
          <w:b/>
          <w:spacing w:val="0"/>
          <w:sz w:val="22"/>
          <w:szCs w:val="24"/>
          <w:rtl/>
        </w:rPr>
        <w:t>שיגיעו למשיבים מקופת הפש"ר"</w:t>
      </w:r>
      <w:r>
        <w:rPr>
          <w:rtl/>
        </w:rPr>
        <w:t xml:space="preserve"> בהתאם לסכומי החוב שנקבעו בפסקי הדין, ולהורות על סגירת הליכי ההוצל"פ. בית המשפט המחוזי (השופטת </w:t>
      </w:r>
      <w:r>
        <w:rPr>
          <w:rFonts w:ascii="Century" w:hAnsi="Century" w:cs="Miriam"/>
          <w:b/>
          <w:spacing w:val="0"/>
          <w:sz w:val="22"/>
          <w:szCs w:val="24"/>
          <w:rtl/>
        </w:rPr>
        <w:t>א' לושי-עבודי</w:t>
      </w:r>
      <w:r>
        <w:rPr>
          <w:rtl/>
        </w:rPr>
        <w:t>) דחה את הבקשה בהחלטתו מיום 22.11.2023, תוך שקיבל את עמדת המשי</w:t>
      </w:r>
      <w:r>
        <w:rPr>
          <w:rtl/>
        </w:rPr>
        <w:t xml:space="preserve">בים והמשיב 4 (להלן: </w:t>
      </w:r>
      <w:r>
        <w:rPr>
          <w:rFonts w:ascii="Century" w:hAnsi="Century" w:cs="Miriam"/>
          <w:b/>
          <w:spacing w:val="0"/>
          <w:sz w:val="22"/>
          <w:szCs w:val="24"/>
          <w:rtl/>
        </w:rPr>
        <w:t>הכנ"ר</w:t>
      </w:r>
      <w:r>
        <w:rPr>
          <w:rtl/>
        </w:rPr>
        <w:t xml:space="preserve">) לפיה יש לבצע את תחשיב החוב בהתאם לפסקי הדין, במסגרת הליכי ההוצל"פ. בקשה לעיון חוזר בהחלטה זו, נדחתה אף היא בהחלטה מיום 28.11.2023. </w:t>
      </w:r>
      <w:r>
        <w:rPr>
          <w:rtl/>
        </w:rPr>
        <w:br/>
      </w:r>
    </w:p>
    <w:p w:rsidR="00E00D06" w:rsidP="00E00D06">
      <w:pPr>
        <w:pStyle w:val="Ruller40"/>
      </w:pPr>
      <w:r>
        <w:rPr>
          <w:rtl/>
        </w:rPr>
        <w:t>ביני לביני, הגישו המשיבים בקשה לביטול ההפטר שניתן למבקש בהליך הפש"ר, בטענה להסתרת נכסים ולהטעיית</w:t>
      </w:r>
      <w:r>
        <w:rPr>
          <w:rtl/>
        </w:rPr>
        <w:t xml:space="preserve"> בית המשפט (להלן: </w:t>
      </w:r>
      <w:r>
        <w:rPr>
          <w:rFonts w:ascii="Century" w:hAnsi="Century" w:cs="Miriam"/>
          <w:b/>
          <w:spacing w:val="0"/>
          <w:sz w:val="22"/>
          <w:szCs w:val="24"/>
          <w:rtl/>
        </w:rPr>
        <w:t>הבקשה לביטול ההפטר</w:t>
      </w:r>
      <w:r>
        <w:rPr>
          <w:rtl/>
        </w:rPr>
        <w:t xml:space="preserve">). בהתייחס לבקשה זו נערכו במרוצת השנים מספר דיונים לפני בית המשפט המחוזי, התנהל הליך גישור בין הצדדים שלא עלה יפה, הוגשו בקשות שונות וניתנו הוראות בעניינן – ומבלי שנתקבלה הכרעה סופית בבקשה.  </w:t>
      </w:r>
    </w:p>
    <w:p w:rsidR="00E00D06" w:rsidP="00E00D06">
      <w:pPr>
        <w:pStyle w:val="Ruller4"/>
        <w:rPr>
          <w:rtl/>
        </w:rPr>
      </w:pPr>
    </w:p>
    <w:p w:rsidR="00E00D06" w:rsidP="00E00D06">
      <w:pPr>
        <w:pStyle w:val="Ruller40"/>
      </w:pPr>
      <w:r>
        <w:rPr>
          <w:rtl/>
        </w:rPr>
        <w:t>ביום 30.5.2024 הגישו המשיבי</w:t>
      </w:r>
      <w:r>
        <w:rPr>
          <w:rtl/>
        </w:rPr>
        <w:t xml:space="preserve">ם בקשה נוספת, הנוגעת לשלושה הליכי הוצאה לפועל בהם נקט המבקש לגביית סכומי ההוצאות שנפסקו לטובתו במסגרת ההתדיינויות השונות עם המשיבים בקשר עם תביעות החוב (להלן: </w:t>
      </w:r>
      <w:r>
        <w:rPr>
          <w:rFonts w:ascii="Century" w:hAnsi="Century" w:cs="Miriam"/>
          <w:b/>
          <w:spacing w:val="0"/>
          <w:sz w:val="22"/>
          <w:szCs w:val="24"/>
          <w:rtl/>
        </w:rPr>
        <w:t>הליכי ההוצל"פ שפתח המבקש</w:t>
      </w:r>
      <w:r>
        <w:rPr>
          <w:rtl/>
        </w:rPr>
        <w:t>). המשיבים ביקשו להורות על סגירת ההליכים האמורים, ולחלופין לעכבם עד להכרע</w:t>
      </w:r>
      <w:r>
        <w:rPr>
          <w:rtl/>
        </w:rPr>
        <w:t xml:space="preserve">ה בבקשתם לביטול ההפטר – בטענה כי אלה נפתחו בניגוד להחלטות בית המשפט המחוזי, ובשל טענת קיזוז העומדת להם. בהחלטתו מיום 5.6.2024, הורה בית המשפט המחוזי על השהיית הליכי הגביה בהליכי ההוצל"פ שפתח המבקש באופן זמני.   </w:t>
      </w:r>
      <w:r>
        <w:rPr>
          <w:rtl/>
        </w:rPr>
        <w:br/>
      </w:r>
    </w:p>
    <w:p w:rsidR="00E00D06" w:rsidP="00E00D06">
      <w:pPr>
        <w:pStyle w:val="Ruller40"/>
      </w:pPr>
      <w:r>
        <w:rPr>
          <w:rtl/>
        </w:rPr>
        <w:t>ביום 18.8.2024 הגיש המבקש "בקשה בכתב והבהרה</w:t>
      </w:r>
      <w:r>
        <w:rPr>
          <w:rtl/>
        </w:rPr>
        <w:t xml:space="preserve">" ובה ביקש שלושה סעדים: הראשון, </w:t>
      </w:r>
      <w:r>
        <w:rPr>
          <w:rFonts w:ascii="Century" w:hAnsi="Century"/>
          <w:sz w:val="22"/>
          <w:rtl/>
        </w:rPr>
        <w:t>"לשנות"</w:t>
      </w:r>
      <w:r>
        <w:rPr>
          <w:rtl/>
        </w:rPr>
        <w:t xml:space="preserve"> את החלטת בית המשפט המחוזי מיום 22.11.2023, כך שתחשיב החוב ייערך על-ידי הנאמן ולא במסגרת הליכי ההוצל"פ; השני, </w:t>
      </w:r>
      <w:r>
        <w:rPr>
          <w:rFonts w:ascii="Century" w:hAnsi="Century" w:cs="Miriam"/>
          <w:b/>
          <w:spacing w:val="0"/>
          <w:sz w:val="22"/>
          <w:szCs w:val="24"/>
          <w:rtl/>
        </w:rPr>
        <w:t xml:space="preserve">"לדחות את הבקשה לביטול הליכי הפש"ר לאחר שתינתן </w:t>
      </w:r>
      <w:r>
        <w:rPr>
          <w:rFonts w:ascii="Century" w:hAnsi="Century" w:cs="Miriam"/>
          <w:b/>
          <w:spacing w:val="0"/>
          <w:sz w:val="22"/>
          <w:szCs w:val="24"/>
          <w:rtl/>
        </w:rPr>
        <w:t>הכרעה בתביעות החוב של [המשיבים]"</w:t>
      </w:r>
      <w:r>
        <w:rPr>
          <w:rtl/>
        </w:rPr>
        <w:t xml:space="preserve">; והשלישי, לבטל את עיכובם הזמני של הליכי ההוצל"פ שפתח המבקש. </w:t>
      </w:r>
      <w:r>
        <w:rPr>
          <w:rtl/>
        </w:rPr>
        <w:br/>
      </w:r>
    </w:p>
    <w:p w:rsidR="00E00D06" w:rsidP="00E00D06">
      <w:pPr>
        <w:pStyle w:val="Ruller40"/>
      </w:pPr>
      <w:r>
        <w:rPr>
          <w:rtl/>
        </w:rPr>
        <w:t>בהחלטותיו מן הימים 10.9.2024 ו-16.9.2024 – מושא בקשת רשות הערעור הראשונה – קבע בית המשפט המחוזי, כי המבקש לא הציג עילה לעיון מחדש בהחלטה מיום 22.11.2023. עוד נקבע, כי רק לאחר שיוכרע גובה החוב ב</w:t>
      </w:r>
      <w:r>
        <w:rPr>
          <w:rtl/>
        </w:rPr>
        <w:t xml:space="preserve">מסגרת הליכי ההוצל"פ, ניתן יהיה לדון בבקשת המשיבים לביטול ההפטר או בבקשתם לסגירת הליכי ההוצל"פ שפתח המבקש – תוך שצוין כי לאחר מתן ההכרעה בעניין זה, יהיה כל אחד מהצדדים רשאי לפנות לבית המשפט בבקשה מתאימה.   </w:t>
      </w:r>
      <w:r>
        <w:rPr>
          <w:rtl/>
        </w:rPr>
        <w:br/>
      </w:r>
    </w:p>
    <w:p w:rsidR="00E00D06" w:rsidP="00E00D06">
      <w:pPr>
        <w:pStyle w:val="Ruller40"/>
      </w:pPr>
      <w:r>
        <w:rPr>
          <w:rtl/>
        </w:rPr>
        <w:t xml:space="preserve">בחודש דצמבר 2024, ניתנו הכרעות בהליכי ההוצל"פ (החלטת הרשמת </w:t>
      </w:r>
      <w:r>
        <w:rPr>
          <w:rFonts w:ascii="Century" w:hAnsi="Century" w:cs="Miriam"/>
          <w:b/>
          <w:spacing w:val="0"/>
          <w:sz w:val="22"/>
          <w:szCs w:val="24"/>
          <w:rtl/>
        </w:rPr>
        <w:t>כ' שפירא ברגמן</w:t>
      </w:r>
      <w:r>
        <w:rPr>
          <w:rtl/>
        </w:rPr>
        <w:t xml:space="preserve"> מיום 3.12.2024 בהליך אקרשטיין; והחלטת הרשמת </w:t>
      </w:r>
      <w:r>
        <w:rPr>
          <w:rFonts w:ascii="Century" w:hAnsi="Century" w:cs="Miriam"/>
          <w:b/>
          <w:spacing w:val="0"/>
          <w:sz w:val="22"/>
          <w:szCs w:val="24"/>
          <w:rtl/>
        </w:rPr>
        <w:t>א'</w:t>
      </w:r>
      <w:r>
        <w:rPr>
          <w:rtl/>
        </w:rPr>
        <w:t xml:space="preserve"> </w:t>
      </w:r>
      <w:r>
        <w:rPr>
          <w:rFonts w:ascii="Century" w:hAnsi="Century" w:cs="Miriam"/>
          <w:b/>
          <w:spacing w:val="0"/>
          <w:sz w:val="22"/>
          <w:szCs w:val="24"/>
          <w:rtl/>
        </w:rPr>
        <w:t>יהונתן ארוש</w:t>
      </w:r>
      <w:r>
        <w:rPr>
          <w:rtl/>
        </w:rPr>
        <w:t xml:space="preserve"> מיום 17.12.2024 בהליך נטפים). במסגרת שתי ההחלטות נקבע כי יש לבצע את תחשיב החוב לפי הוראות </w:t>
      </w:r>
      <w:hyperlink r:id="rId10" w:history="1">
        <w:r w:rsidRPr="006B2782" w:rsidR="006B2782">
          <w:rPr>
            <w:rFonts w:hint="eastAsia"/>
            <w:color w:val="0000FF"/>
            <w:u w:val="single"/>
            <w:rtl/>
          </w:rPr>
          <w:t>חוק</w:t>
        </w:r>
        <w:r w:rsidRPr="006B2782" w:rsidR="006B2782">
          <w:rPr>
            <w:color w:val="0000FF"/>
            <w:u w:val="single"/>
            <w:rtl/>
          </w:rPr>
          <w:t xml:space="preserve"> </w:t>
        </w:r>
        <w:r w:rsidRPr="006B2782" w:rsidR="006B2782">
          <w:rPr>
            <w:rFonts w:hint="eastAsia"/>
            <w:color w:val="0000FF"/>
            <w:u w:val="single"/>
            <w:rtl/>
          </w:rPr>
          <w:t>ההוצאה</w:t>
        </w:r>
        <w:r w:rsidRPr="006B2782" w:rsidR="006B2782">
          <w:rPr>
            <w:color w:val="0000FF"/>
            <w:u w:val="single"/>
            <w:rtl/>
          </w:rPr>
          <w:t xml:space="preserve"> </w:t>
        </w:r>
        <w:r w:rsidRPr="006B2782" w:rsidR="006B2782">
          <w:rPr>
            <w:rFonts w:hint="eastAsia"/>
            <w:color w:val="0000FF"/>
            <w:u w:val="single"/>
            <w:rtl/>
          </w:rPr>
          <w:t>לפועל</w:t>
        </w:r>
      </w:hyperlink>
      <w:r>
        <w:rPr>
          <w:rtl/>
        </w:rPr>
        <w:t xml:space="preserve">, התשכ"ז-1967 (להלן: </w:t>
      </w:r>
      <w:r>
        <w:rPr>
          <w:rFonts w:ascii="Century" w:hAnsi="Century" w:cs="Miriam"/>
          <w:b/>
          <w:spacing w:val="0"/>
          <w:sz w:val="22"/>
          <w:szCs w:val="24"/>
          <w:rtl/>
        </w:rPr>
        <w:t>חוק ההוצל"פ</w:t>
      </w:r>
      <w:r>
        <w:rPr>
          <w:rtl/>
        </w:rPr>
        <w:t>), ולא בהתאם ל</w:t>
      </w:r>
      <w:hyperlink r:id="rId11" w:history="1">
        <w:r w:rsidRPr="006B2782" w:rsidR="006B2782">
          <w:rPr>
            <w:rFonts w:hint="eastAsia"/>
            <w:color w:val="0000FF"/>
            <w:u w:val="single"/>
            <w:rtl/>
          </w:rPr>
          <w:t>פקודת</w:t>
        </w:r>
        <w:r w:rsidRPr="006B2782" w:rsidR="006B2782">
          <w:rPr>
            <w:color w:val="0000FF"/>
            <w:u w:val="single"/>
            <w:rtl/>
          </w:rPr>
          <w:t xml:space="preserve"> </w:t>
        </w:r>
        <w:r w:rsidRPr="006B2782" w:rsidR="006B2782">
          <w:rPr>
            <w:rFonts w:hint="eastAsia"/>
            <w:color w:val="0000FF"/>
            <w:u w:val="single"/>
            <w:rtl/>
          </w:rPr>
          <w:t>פשיטת</w:t>
        </w:r>
        <w:r w:rsidRPr="006B2782" w:rsidR="006B2782">
          <w:rPr>
            <w:color w:val="0000FF"/>
            <w:u w:val="single"/>
            <w:rtl/>
          </w:rPr>
          <w:t xml:space="preserve"> </w:t>
        </w:r>
        <w:r w:rsidRPr="006B2782" w:rsidR="006B2782">
          <w:rPr>
            <w:rFonts w:hint="eastAsia"/>
            <w:color w:val="0000FF"/>
            <w:u w:val="single"/>
            <w:rtl/>
          </w:rPr>
          <w:t>הרגל</w:t>
        </w:r>
      </w:hyperlink>
      <w:r>
        <w:rPr>
          <w:rtl/>
        </w:rPr>
        <w:t xml:space="preserve"> [נוסח חדש], התש"ם-1980 (להלן: </w:t>
      </w:r>
      <w:r>
        <w:rPr>
          <w:rFonts w:ascii="Century" w:hAnsi="Century" w:cs="Miriam"/>
          <w:b/>
          <w:spacing w:val="0"/>
          <w:sz w:val="22"/>
          <w:szCs w:val="24"/>
          <w:rtl/>
        </w:rPr>
        <w:t>פקודת פשיטת הרגל</w:t>
      </w:r>
      <w:r>
        <w:rPr>
          <w:rtl/>
        </w:rPr>
        <w:t xml:space="preserve"> או </w:t>
      </w:r>
      <w:r>
        <w:rPr>
          <w:rFonts w:ascii="Century" w:hAnsi="Century" w:cs="Miriam"/>
          <w:b/>
          <w:spacing w:val="0"/>
          <w:sz w:val="22"/>
          <w:szCs w:val="24"/>
          <w:rtl/>
        </w:rPr>
        <w:t>הפקודה</w:t>
      </w:r>
      <w:r>
        <w:rPr>
          <w:rtl/>
        </w:rPr>
        <w:t>), כפי שביקש המבקש. כן נתקבלו, בין היתר, הכרעות בנוגע לטענו</w:t>
      </w:r>
      <w:r>
        <w:rPr>
          <w:rtl/>
        </w:rPr>
        <w:t xml:space="preserve">ת קיזוז שונות שהעלו הצדדים. </w:t>
      </w:r>
    </w:p>
    <w:p w:rsidR="00E00D06" w:rsidP="00E00D06">
      <w:pPr>
        <w:pStyle w:val="Ruller4"/>
        <w:rPr>
          <w:rtl/>
        </w:rPr>
      </w:pPr>
    </w:p>
    <w:p w:rsidR="00E00D06" w:rsidP="00E00D06">
      <w:pPr>
        <w:pStyle w:val="Ruller40"/>
      </w:pPr>
      <w:r>
        <w:rPr>
          <w:rtl/>
        </w:rPr>
        <w:t xml:space="preserve">בעקבות התפתחויות אלה, פנה המבקש ביום 31.12.2024 לבית המשפט המחוזי בבקשה </w:t>
      </w:r>
      <w:r>
        <w:rPr>
          <w:rFonts w:ascii="Century" w:hAnsi="Century" w:cs="Miriam"/>
          <w:b/>
          <w:spacing w:val="0"/>
          <w:sz w:val="22"/>
          <w:szCs w:val="24"/>
          <w:rtl/>
        </w:rPr>
        <w:t>"להורות על ביצוע תחשיב ולהעביר את ההכרעה בתביעות החוב של [המשיבים] בתיקי נטפים ואקרשטיין לידי הנאמן תחת עינו הפקוחה של ביהמ"ש הנכבד, תוך שינוי ההחלטות הקו</w:t>
      </w:r>
      <w:r>
        <w:rPr>
          <w:rFonts w:ascii="Century" w:hAnsi="Century" w:cs="Miriam"/>
          <w:b/>
          <w:spacing w:val="0"/>
          <w:sz w:val="22"/>
          <w:szCs w:val="24"/>
          <w:rtl/>
        </w:rPr>
        <w:t>דמות ולפיה מלאכה זו הועברה לידי רשמי ההוצל"פ"</w:t>
      </w:r>
      <w:r>
        <w:rPr>
          <w:rtl/>
        </w:rPr>
        <w:t xml:space="preserve">. זאת, משטען לקשיים שונים בהחלטות שניתנו בהליכי ההוצל"פ, ובראשם ביצוע תחשיב החוב בהתאם לחוק ההוצל"פ ולא לפי </w:t>
      </w:r>
      <w:hyperlink r:id="rId11" w:history="1">
        <w:r w:rsidRPr="006B2782" w:rsidR="006B2782">
          <w:rPr>
            <w:rFonts w:hint="eastAsia"/>
            <w:color w:val="0000FF"/>
            <w:u w:val="single"/>
            <w:rtl/>
          </w:rPr>
          <w:t>פקודת</w:t>
        </w:r>
        <w:r w:rsidRPr="006B2782" w:rsidR="006B2782">
          <w:rPr>
            <w:color w:val="0000FF"/>
            <w:u w:val="single"/>
            <w:rtl/>
          </w:rPr>
          <w:t xml:space="preserve"> </w:t>
        </w:r>
        <w:r w:rsidRPr="006B2782" w:rsidR="006B2782">
          <w:rPr>
            <w:rFonts w:hint="eastAsia"/>
            <w:color w:val="0000FF"/>
            <w:u w:val="single"/>
            <w:rtl/>
          </w:rPr>
          <w:t>פשיטת</w:t>
        </w:r>
        <w:r w:rsidRPr="006B2782" w:rsidR="006B2782">
          <w:rPr>
            <w:color w:val="0000FF"/>
            <w:u w:val="single"/>
            <w:rtl/>
          </w:rPr>
          <w:t xml:space="preserve"> </w:t>
        </w:r>
        <w:r w:rsidRPr="006B2782" w:rsidR="006B2782">
          <w:rPr>
            <w:rFonts w:hint="eastAsia"/>
            <w:color w:val="0000FF"/>
            <w:u w:val="single"/>
            <w:rtl/>
          </w:rPr>
          <w:t>הרגל</w:t>
        </w:r>
      </w:hyperlink>
      <w:r>
        <w:rPr>
          <w:rtl/>
        </w:rPr>
        <w:t>, ומתן החלטות סותרות בעניין קיזוז ההוצאו</w:t>
      </w:r>
      <w:r>
        <w:rPr>
          <w:rtl/>
        </w:rPr>
        <w:t xml:space="preserve">ת.  </w:t>
      </w:r>
      <w:r>
        <w:rPr>
          <w:rtl/>
        </w:rPr>
        <w:br/>
      </w:r>
    </w:p>
    <w:p w:rsidR="00E00D06" w:rsidP="00E00D06">
      <w:pPr>
        <w:pStyle w:val="Ruller40"/>
      </w:pPr>
      <w:r>
        <w:rPr>
          <w:rtl/>
        </w:rPr>
        <w:t>בהחלטתו מיום 28.1.2025 – מושא בקשת רשות הערעור השנייה – דחה בית המשפט המחוזי את בקשת המבקש. נקבע, כי מדובר ב"</w:t>
      </w:r>
      <w:r>
        <w:rPr>
          <w:rFonts w:ascii="Century" w:hAnsi="Century" w:cs="Miriam"/>
          <w:b/>
          <w:spacing w:val="0"/>
          <w:sz w:val="22"/>
          <w:szCs w:val="24"/>
          <w:rtl/>
        </w:rPr>
        <w:t>חוליה נוספת בשרשרת של בקשות שמגיש החייב, בנסיון לשנות החלטות קודמות ולהביא לכך שתחשיב תביעות החוב יבוצע על ידי הנאמן ולא על ידי ההוצאה לפועל</w:t>
      </w:r>
      <w:r>
        <w:rPr>
          <w:rtl/>
        </w:rPr>
        <w:t>"</w:t>
      </w:r>
      <w:r>
        <w:rPr>
          <w:rtl/>
        </w:rPr>
        <w:t xml:space="preserve">, וכי דין הבקשה להידחות מכל הטעמים שפורטו בהחלטות הקודמות שניתנו בנושא. כן נקבע כי יש לדחות את טענות המבקש נגד החלטותיהן של הרשמות, </w:t>
      </w:r>
      <w:r>
        <w:rPr>
          <w:rFonts w:ascii="Century" w:hAnsi="Century" w:cs="Miriam"/>
          <w:b/>
          <w:spacing w:val="0"/>
          <w:sz w:val="22"/>
          <w:szCs w:val="24"/>
          <w:rtl/>
        </w:rPr>
        <w:t>"משום שהגשת הבקשה הנוכחית אינה הדרך להשיג על אותן החלטות"</w:t>
      </w:r>
      <w:r>
        <w:rPr>
          <w:rtl/>
        </w:rPr>
        <w:t xml:space="preserve">. </w:t>
      </w:r>
    </w:p>
    <w:p w:rsidR="00E00D06" w:rsidP="00E00D06">
      <w:pPr>
        <w:pStyle w:val="Ruller4"/>
        <w:rPr>
          <w:rtl/>
        </w:rPr>
      </w:pPr>
    </w:p>
    <w:p w:rsidR="00E00D06" w:rsidP="00E00D06">
      <w:pPr>
        <w:pStyle w:val="Ruller4"/>
        <w:rPr>
          <w:rFonts w:ascii="Century" w:hAnsi="Century" w:cs="Miriam"/>
          <w:b/>
          <w:spacing w:val="0"/>
          <w:szCs w:val="24"/>
          <w:rtl/>
        </w:rPr>
      </w:pPr>
      <w:r>
        <w:rPr>
          <w:rFonts w:ascii="Century" w:hAnsi="Century" w:cs="Miriam"/>
          <w:b/>
          <w:spacing w:val="0"/>
          <w:szCs w:val="24"/>
          <w:rtl/>
        </w:rPr>
        <w:t>בקשות רשות הערעור</w:t>
      </w:r>
    </w:p>
    <w:p w:rsidR="00E00D06" w:rsidP="00E00D06">
      <w:pPr>
        <w:pStyle w:val="Ruller4"/>
        <w:rPr>
          <w:rFonts w:ascii="Century" w:hAnsi="Century" w:cs="Miriam"/>
          <w:b/>
          <w:spacing w:val="0"/>
          <w:szCs w:val="24"/>
          <w:rtl/>
        </w:rPr>
      </w:pPr>
    </w:p>
    <w:p w:rsidR="00E00D06" w:rsidP="00E00D06">
      <w:pPr>
        <w:pStyle w:val="Ruller40"/>
        <w:rPr>
          <w:rtl/>
        </w:rPr>
      </w:pPr>
      <w:r>
        <w:rPr>
          <w:rtl/>
        </w:rPr>
        <w:t xml:space="preserve">במסגרת בקשת רשות הערעור הראשונה, עותר המבקש </w:t>
      </w:r>
      <w:r>
        <w:rPr>
          <w:rtl/>
        </w:rPr>
        <w:t xml:space="preserve">להורות על ביטול עיכובם הזמני של הליכי ההוצל"פ שפתח לגביית ההוצאות; להורות לבית המשפט המחוזי לדון בכל הבקשות העומדות בהליך הפש"ר, לרבות </w:t>
      </w:r>
      <w:r>
        <w:rPr>
          <w:rFonts w:ascii="Century" w:hAnsi="Century" w:cs="Miriam"/>
          <w:b/>
          <w:spacing w:val="0"/>
          <w:sz w:val="22"/>
          <w:szCs w:val="24"/>
          <w:rtl/>
        </w:rPr>
        <w:t>"בקשות המבקש לסגור את תיקי ההוצל"פ נטפים ואקרשטיין [...] וכן להכריע בתביעות החוב בביהמ"ש של פש"ר ולא בלשכות ההוצל"פ"</w:t>
      </w:r>
      <w:r>
        <w:rPr>
          <w:rtl/>
        </w:rPr>
        <w:t xml:space="preserve">.  </w:t>
      </w:r>
    </w:p>
    <w:p w:rsidR="00E00D06" w:rsidP="00E00D06">
      <w:pPr>
        <w:pStyle w:val="Ruller4"/>
        <w:rPr>
          <w:rtl/>
        </w:rPr>
      </w:pPr>
    </w:p>
    <w:p w:rsidR="00E00D06" w:rsidP="00E00D06">
      <w:pPr>
        <w:pStyle w:val="Ruller40"/>
        <w:rPr>
          <w:rtl/>
        </w:rPr>
      </w:pPr>
      <w:r>
        <w:rPr>
          <w:rtl/>
        </w:rPr>
        <w:t xml:space="preserve">במסגרת בקשת רשות הערעור השנייה, עותר המבקש </w:t>
      </w:r>
      <w:r>
        <w:rPr>
          <w:rFonts w:ascii="Century" w:hAnsi="Century" w:cs="Miriam"/>
          <w:b/>
          <w:spacing w:val="0"/>
          <w:sz w:val="22"/>
          <w:szCs w:val="24"/>
          <w:rtl/>
        </w:rPr>
        <w:t>"להורות כי התחשיבים בתיקי אקרשטיין ונטפים יבוצעו בביהמ"ש של פש"ר בהתאם להוראות פקודת הפש"ר תוך שוויון בין כל הנושים"</w:t>
      </w:r>
      <w:r>
        <w:rPr>
          <w:rtl/>
        </w:rPr>
        <w:t xml:space="preserve">. בהקשר זה שב המבקש ומעלה טענות שונות נגד החלטותיהן של הרשמות בהליכי ההוצל"פ. בעיקר הוא טוען, כי </w:t>
      </w:r>
      <w:r>
        <w:rPr>
          <w:rtl/>
        </w:rPr>
        <w:t xml:space="preserve">התחשיב שבוצע בהחלטות אלה </w:t>
      </w:r>
      <w:r>
        <w:rPr>
          <w:rFonts w:ascii="Century" w:hAnsi="Century" w:cs="Miriam"/>
          <w:b/>
          <w:spacing w:val="0"/>
          <w:sz w:val="22"/>
          <w:szCs w:val="24"/>
          <w:rtl/>
        </w:rPr>
        <w:t>"לא יכול להועיל במסגרת הליכי הפש"ר"</w:t>
      </w:r>
      <w:r>
        <w:rPr>
          <w:rtl/>
        </w:rPr>
        <w:t xml:space="preserve"> משעה שנעשה בהתאם להוראות חוק ההוצל"פ ולא לפי </w:t>
      </w:r>
      <w:hyperlink r:id="rId11" w:history="1">
        <w:r w:rsidRPr="006B2782" w:rsidR="006B2782">
          <w:rPr>
            <w:rFonts w:hint="eastAsia"/>
            <w:color w:val="0000FF"/>
            <w:u w:val="single"/>
            <w:rtl/>
          </w:rPr>
          <w:t>פקודת</w:t>
        </w:r>
        <w:r w:rsidRPr="006B2782" w:rsidR="006B2782">
          <w:rPr>
            <w:color w:val="0000FF"/>
            <w:u w:val="single"/>
            <w:rtl/>
          </w:rPr>
          <w:t xml:space="preserve"> </w:t>
        </w:r>
        <w:r w:rsidRPr="006B2782" w:rsidR="006B2782">
          <w:rPr>
            <w:rFonts w:hint="eastAsia"/>
            <w:color w:val="0000FF"/>
            <w:u w:val="single"/>
            <w:rtl/>
          </w:rPr>
          <w:t>פשיטת</w:t>
        </w:r>
        <w:r w:rsidRPr="006B2782" w:rsidR="006B2782">
          <w:rPr>
            <w:color w:val="0000FF"/>
            <w:u w:val="single"/>
            <w:rtl/>
          </w:rPr>
          <w:t xml:space="preserve"> </w:t>
        </w:r>
        <w:r w:rsidRPr="006B2782" w:rsidR="006B2782">
          <w:rPr>
            <w:rFonts w:hint="eastAsia"/>
            <w:color w:val="0000FF"/>
            <w:u w:val="single"/>
            <w:rtl/>
          </w:rPr>
          <w:t>הרגל</w:t>
        </w:r>
      </w:hyperlink>
      <w:r>
        <w:rPr>
          <w:rtl/>
        </w:rPr>
        <w:t xml:space="preserve">, באופן היוצר חוסר שוויון בין נושי המבקש. לטענתו, קביעת הרשמות כי אינן מוסמכות לבצע את </w:t>
      </w:r>
      <w:r>
        <w:rPr>
          <w:rtl/>
        </w:rPr>
        <w:t xml:space="preserve">התחשיב בהתאם להוראות הפקודה, מהווה שינוי נסיבות המצדיק כי בית המשפט המחוזי </w:t>
      </w:r>
      <w:r>
        <w:rPr>
          <w:rFonts w:ascii="Century" w:hAnsi="Century" w:cs="Miriam"/>
          <w:b/>
          <w:spacing w:val="0"/>
          <w:sz w:val="22"/>
          <w:szCs w:val="24"/>
          <w:rtl/>
        </w:rPr>
        <w:t>"ייטול את ההכרעה לידו בתביעות החוב ובטענות השונות ולא ייתן את ידו להמשך של עינוי דין בלתי נפסק"</w:t>
      </w:r>
      <w:r>
        <w:rPr>
          <w:rtl/>
        </w:rPr>
        <w:t xml:space="preserve">. </w:t>
      </w:r>
    </w:p>
    <w:p w:rsidR="00E00D06" w:rsidP="00E00D06">
      <w:pPr>
        <w:pStyle w:val="Ruller4"/>
        <w:rPr>
          <w:rtl/>
        </w:rPr>
      </w:pPr>
    </w:p>
    <w:p w:rsidR="00E00D06" w:rsidP="00E00D06">
      <w:pPr>
        <w:pStyle w:val="Ruller40"/>
      </w:pPr>
      <w:r>
        <w:rPr>
          <w:rtl/>
        </w:rPr>
        <w:t>הנאמן סבור כי יש לקבל את בקשות רשות הערעור. בתשובתו לבקשות, טוען הנאמן כי תחשיבי ה</w:t>
      </w:r>
      <w:r>
        <w:rPr>
          <w:rtl/>
        </w:rPr>
        <w:t xml:space="preserve">חוב שבוצעו בהליכי ההוצל"פ אינם </w:t>
      </w:r>
      <w:r>
        <w:rPr>
          <w:rtl/>
        </w:rPr>
        <w:t xml:space="preserve">מקיימים אחר פסיקת העליון, אשר הורתה על ביצועם בהתאם להוראות </w:t>
      </w:r>
      <w:hyperlink r:id="rId11" w:history="1">
        <w:r w:rsidRPr="006B2782" w:rsidR="006B2782">
          <w:rPr>
            <w:rFonts w:hint="eastAsia"/>
            <w:color w:val="0000FF"/>
            <w:u w:val="single"/>
            <w:rtl/>
          </w:rPr>
          <w:t>פקודת</w:t>
        </w:r>
        <w:r w:rsidRPr="006B2782" w:rsidR="006B2782">
          <w:rPr>
            <w:color w:val="0000FF"/>
            <w:u w:val="single"/>
            <w:rtl/>
          </w:rPr>
          <w:t xml:space="preserve"> </w:t>
        </w:r>
        <w:r w:rsidRPr="006B2782" w:rsidR="006B2782">
          <w:rPr>
            <w:rFonts w:hint="eastAsia"/>
            <w:color w:val="0000FF"/>
            <w:u w:val="single"/>
            <w:rtl/>
          </w:rPr>
          <w:t>פשיטת</w:t>
        </w:r>
        <w:r w:rsidRPr="006B2782" w:rsidR="006B2782">
          <w:rPr>
            <w:color w:val="0000FF"/>
            <w:u w:val="single"/>
            <w:rtl/>
          </w:rPr>
          <w:t xml:space="preserve"> </w:t>
        </w:r>
        <w:r w:rsidRPr="006B2782" w:rsidR="006B2782">
          <w:rPr>
            <w:rFonts w:hint="eastAsia"/>
            <w:color w:val="0000FF"/>
            <w:u w:val="single"/>
            <w:rtl/>
          </w:rPr>
          <w:t>הרגל</w:t>
        </w:r>
      </w:hyperlink>
      <w:r>
        <w:rPr>
          <w:rtl/>
        </w:rPr>
        <w:t>. בהמשך לכך טוען הנאמן כי אין בתחשיבים האמורים כדי לקדם את חלוקת הדיבידנד לנושים בהליך הפש"ר, ובנסיבות</w:t>
      </w:r>
      <w:r>
        <w:rPr>
          <w:rtl/>
        </w:rPr>
        <w:t xml:space="preserve"> אלה צריך היה בית המשפט המחוזי לעשות – כך לדבריו – אחת משתיים: </w:t>
      </w:r>
      <w:r>
        <w:rPr>
          <w:rFonts w:ascii="Century" w:hAnsi="Century" w:cs="Miriam"/>
          <w:b/>
          <w:spacing w:val="0"/>
          <w:sz w:val="22"/>
          <w:szCs w:val="24"/>
          <w:rtl/>
        </w:rPr>
        <w:t>"להורות לרשמות ההוצל"פ לבצע תחשיב בהתאם לפסק דינו של בימ"ש עליון או למנות גורם אחר שיבצע את התחשיב [...] ובלבד שענין פעוט זה המעכב את סיום התיק יפתר"</w:t>
      </w:r>
      <w:r>
        <w:rPr>
          <w:rtl/>
        </w:rPr>
        <w:t xml:space="preserve">.  </w:t>
      </w:r>
      <w:r>
        <w:rPr>
          <w:rtl/>
        </w:rPr>
        <w:br/>
      </w:r>
    </w:p>
    <w:p w:rsidR="00E00D06" w:rsidP="00E00D06">
      <w:pPr>
        <w:pStyle w:val="Ruller40"/>
      </w:pPr>
      <w:r>
        <w:rPr>
          <w:rtl/>
        </w:rPr>
        <w:t xml:space="preserve">המשיבים סבורים מצידם כי דין בקשות רשות </w:t>
      </w:r>
      <w:r>
        <w:rPr>
          <w:rtl/>
        </w:rPr>
        <w:t xml:space="preserve">הערעור להידחות – תוך שהם סומכים את ידיהם, בעיקרו של דבר, על החלטותיו של בית המשפט המחוזי; ומעלים טענות שונות נגד התנהלותו של המבקש, כמו גם התנהלותו של הנאמן בהליך. </w:t>
      </w:r>
      <w:r>
        <w:rPr>
          <w:rtl/>
        </w:rPr>
        <w:br/>
      </w:r>
    </w:p>
    <w:p w:rsidR="00E00D06" w:rsidP="00E00D06">
      <w:pPr>
        <w:pStyle w:val="Ruller40"/>
      </w:pPr>
      <w:r>
        <w:rPr>
          <w:rtl/>
        </w:rPr>
        <w:t>אף הכנ"ר סבור כי יש לדחות את הבקשות. אשר להחלטת בית המשפט המחוזי הנוגעת לעיכוב הליכי ההוצל</w:t>
      </w:r>
      <w:r>
        <w:rPr>
          <w:rtl/>
        </w:rPr>
        <w:t>"פ שפתח המבקש עד למתן הכרעה בהליכי ההוצל"פ – נטען כי מדובר בהחלטה בעלת אופי דיוני אשר ערכאת הערעור אינה נוהגת להתערב בה; וממילא, הטענות בעניין זה הפכו לתיאורטיות ואינן אקטואליות עוד משעה שההכרעה בהליכי ההוצל"פ כבר ניתנה. אשר לבקשת המבקש להעביר את ההכרעה בת</w:t>
      </w:r>
      <w:r>
        <w:rPr>
          <w:rtl/>
        </w:rPr>
        <w:t xml:space="preserve">ביעות החוב של המשיבים להליך הפש"ר – נטען כי אכן, כטענת המבקש, ההכרעה בעניין זה בהליכי ההוצל"פ גרמה ל"תאונה משפטית", הן בהיבט הריבית והן בהיבט טענות הקיזוז. עם זאת, לעמדת הכנ"ר, הקביעה כי תביעות החוב יתבררו במסגרת הליכי ההוצל"פ נעשתה במספר החלטות קודמות של </w:t>
      </w:r>
      <w:r>
        <w:rPr>
          <w:rtl/>
        </w:rPr>
        <w:t xml:space="preserve">בית המשפט המחוזי מן השנים 2017 ו-2023, אשר הפכו חלוטות ולא ניתן עוד להשיג עליהן. לשיטת הכנ"ר, הדרך הנכונה להעלות את טענות המבקש נגד תוכן ההכרעות בהליכי ההוצל"פ היא באמצעות הגשת הליך ערעורי על הכרעות אלה לערכאה </w:t>
      </w:r>
      <w:r>
        <w:rPr>
          <w:rtl/>
        </w:rPr>
        <w:t xml:space="preserve">המתאימה. </w:t>
      </w:r>
      <w:r>
        <w:rPr>
          <w:rtl/>
        </w:rPr>
        <w:br/>
      </w:r>
    </w:p>
    <w:p w:rsidR="00E00D06" w:rsidP="00E00D06">
      <w:pPr>
        <w:pStyle w:val="Ruller40"/>
        <w:rPr>
          <w:rFonts w:ascii="Century" w:hAnsi="Century" w:cs="Miriam"/>
          <w:b/>
          <w:spacing w:val="0"/>
          <w:szCs w:val="24"/>
          <w:rtl/>
        </w:rPr>
      </w:pPr>
      <w:r>
        <w:rPr>
          <w:rtl/>
        </w:rPr>
        <w:t xml:space="preserve">המבקש הגיש תגובה לתשובת הכנ"ר, ובה </w:t>
      </w:r>
      <w:r>
        <w:rPr>
          <w:rtl/>
        </w:rPr>
        <w:t>שב על טענתו כי העובדה שתחשיבי החוב בהליכי ההוצל"פ נערכו לפי חוק ההוצל"פ ולא לפי הוראות הפקודה, מהווה שינוי נסיבות המצדיק לעיין מחדש בהחלטותיו הקודמות של בית המשפט המחוזי אשר העבירו את ההכרעה בעניין זה ללשכת ההוצל"פ. עוד טוען המבקש כי בניגוד לאמור בתשובת הכ</w:t>
      </w:r>
      <w:r>
        <w:rPr>
          <w:rtl/>
        </w:rPr>
        <w:t>נ"ר, גם לאחר שייערכו תחשיבי החוב לפי ההחלטות שניתנו בהליכי ההוצל"פ, לא יהיה בכך כדי לקדם את הדיון, משמדובר בתחשיב חסר ערך שאך ינציח את אותה "תאונה משפטית" הגורמת למבקש לעינוי דין מתמשך</w:t>
      </w:r>
      <w:r>
        <w:rPr>
          <w:rFonts w:ascii="Century" w:hAnsi="Century" w:cs="Miriam"/>
          <w:b/>
          <w:spacing w:val="0"/>
          <w:szCs w:val="24"/>
          <w:rtl/>
        </w:rPr>
        <w:t xml:space="preserve">. </w:t>
      </w:r>
    </w:p>
    <w:p w:rsidR="00E00D06" w:rsidP="00E00D06">
      <w:pPr>
        <w:pStyle w:val="Ruller4"/>
        <w:rPr>
          <w:rtl/>
        </w:rPr>
      </w:pPr>
    </w:p>
    <w:p w:rsidR="00E00D06" w:rsidP="00E00D06">
      <w:pPr>
        <w:pStyle w:val="Ruller4"/>
        <w:rPr>
          <w:rFonts w:ascii="Century" w:hAnsi="Century" w:cs="Miriam"/>
          <w:b/>
          <w:spacing w:val="0"/>
          <w:szCs w:val="24"/>
          <w:rtl/>
        </w:rPr>
      </w:pPr>
      <w:r>
        <w:rPr>
          <w:rFonts w:ascii="Century" w:hAnsi="Century" w:cs="Miriam"/>
          <w:b/>
          <w:spacing w:val="0"/>
          <w:szCs w:val="24"/>
          <w:rtl/>
        </w:rPr>
        <w:t>דיון והכרעה</w:t>
      </w:r>
    </w:p>
    <w:p w:rsidR="00E00D06" w:rsidP="00E00D06">
      <w:pPr>
        <w:pStyle w:val="Ruller4"/>
        <w:rPr>
          <w:rFonts w:ascii="Century" w:hAnsi="Century" w:cs="Miriam"/>
          <w:b/>
          <w:spacing w:val="0"/>
          <w:szCs w:val="24"/>
          <w:rtl/>
        </w:rPr>
      </w:pPr>
    </w:p>
    <w:p w:rsidR="00E00D06" w:rsidP="00E00D06">
      <w:pPr>
        <w:pStyle w:val="Ruller40"/>
        <w:rPr>
          <w:rtl/>
        </w:rPr>
      </w:pPr>
      <w:r>
        <w:rPr>
          <w:rtl/>
        </w:rPr>
        <w:t>לאחר שעיינתי בבקשות רשות הערעור ובתשובות להן על נספחיהן</w:t>
      </w:r>
      <w:r>
        <w:rPr>
          <w:rtl/>
        </w:rPr>
        <w:t xml:space="preserve">, ושקלתי בכובד ראש את כלל טענות הצדדים – נחה דעתי כי דין הבקשות להידחות בעיקרן.  </w:t>
      </w:r>
    </w:p>
    <w:p w:rsidR="00E00D06" w:rsidP="00E00D06">
      <w:pPr>
        <w:pStyle w:val="Ruller4"/>
        <w:rPr>
          <w:rtl/>
        </w:rPr>
      </w:pPr>
    </w:p>
    <w:p w:rsidR="00E00D06" w:rsidP="00E00D06">
      <w:pPr>
        <w:pStyle w:val="Ruller40"/>
        <w:rPr>
          <w:rtl/>
        </w:rPr>
      </w:pPr>
      <w:r>
        <w:rPr>
          <w:rtl/>
        </w:rPr>
        <w:t xml:space="preserve">המבקש משיג, בעיקרם של דברים, על שתי החלטות. </w:t>
      </w:r>
      <w:r>
        <w:rPr>
          <w:rFonts w:ascii="Century" w:hAnsi="Century" w:cs="Miriam"/>
          <w:b/>
          <w:spacing w:val="0"/>
          <w:sz w:val="22"/>
          <w:szCs w:val="24"/>
          <w:rtl/>
        </w:rPr>
        <w:t>האחת</w:t>
      </w:r>
      <w:r>
        <w:rPr>
          <w:rtl/>
        </w:rPr>
        <w:t xml:space="preserve">, החלטתו של בית המשפט המחוזי לעכב את הליכי ההוצל"פ שפתח המבקש, ולדחות את הדיון בבקשת המשיבים לסגירת הליכים אלה עד לאחר </w:t>
      </w:r>
      <w:r>
        <w:rPr>
          <w:rFonts w:ascii="Century" w:hAnsi="Century" w:cs="Miriam"/>
          <w:b/>
          <w:spacing w:val="0"/>
          <w:sz w:val="22"/>
          <w:szCs w:val="24"/>
          <w:rtl/>
        </w:rPr>
        <w:t>"שתוכר</w:t>
      </w:r>
      <w:r>
        <w:rPr>
          <w:rFonts w:ascii="Century" w:hAnsi="Century" w:cs="Miriam"/>
          <w:b/>
          <w:spacing w:val="0"/>
          <w:sz w:val="22"/>
          <w:szCs w:val="24"/>
          <w:rtl/>
        </w:rPr>
        <w:t>ע שאלת החובות"</w:t>
      </w:r>
      <w:r>
        <w:rPr>
          <w:rtl/>
        </w:rPr>
        <w:t xml:space="preserve"> הנדונים במסגרת הליכי ההוצל"פ (החלטה מיום 16.9.2024); ו</w:t>
      </w:r>
      <w:r>
        <w:rPr>
          <w:rFonts w:ascii="Century" w:hAnsi="Century" w:cs="Miriam"/>
          <w:b/>
          <w:spacing w:val="0"/>
          <w:sz w:val="22"/>
          <w:szCs w:val="24"/>
          <w:rtl/>
        </w:rPr>
        <w:t>השנייה</w:t>
      </w:r>
      <w:r>
        <w:rPr>
          <w:rtl/>
        </w:rPr>
        <w:t>, דחיית בקשתו לעיון מחדש בהחלטות בית המשפט – ובפרט בהחלטתו מיום 22.11.2023 – בהן נקבע כי יש לבצע את תחשיב החוב בהתאם לפסקי הדין בתביעות האזרחיות, במסגרת הליכי ההוצל"פ ולא על-ידי הנא</w:t>
      </w:r>
      <w:r>
        <w:rPr>
          <w:rtl/>
        </w:rPr>
        <w:t xml:space="preserve">מן בהליך הפש"ר (החלטות מיום 10.9.2024 ומיום 28.1.2025). </w:t>
      </w:r>
      <w:r>
        <w:rPr>
          <w:rtl/>
        </w:rPr>
        <w:br/>
      </w:r>
    </w:p>
    <w:p w:rsidR="00E00D06" w:rsidP="00E00D06">
      <w:pPr>
        <w:pStyle w:val="Ruller40"/>
      </w:pPr>
      <w:r>
        <w:rPr>
          <w:rtl/>
        </w:rPr>
        <w:t>החלטת בית המשפט המחוזי לדחות את הדיון בבקשת המשיבים לסגירת הליכי ההוצל"פ שפתח המבקש, עד לאחר סיום בירור תחשיבי החוב בהליכי ההוצל"פ אקרשטיין ונטפים – היא החלטה דיונית הנוגעת לאופן ניהול ההליך. כידוע,</w:t>
      </w:r>
      <w:r>
        <w:rPr>
          <w:rtl/>
        </w:rPr>
        <w:t xml:space="preserve"> החלטות מעין אלה מצויות בליבת שיקול דעתו של בית המשפט של פשיטת רגל, אשר הוא בעל המומחיות בתחום ולו היכרות קרובה עם ההליך המתנהל לפניו – וערכאת הערעור תיטה שלא להתערב בהן, אלא במקרים חריגים (ראו, מיני רבים: </w:t>
      </w:r>
      <w:hyperlink r:id="rId12" w:history="1">
        <w:r w:rsidRPr="006B2782" w:rsidR="006B2782">
          <w:rPr>
            <w:rFonts w:hint="eastAsia"/>
            <w:color w:val="0000FF"/>
            <w:u w:val="single"/>
            <w:rtl/>
          </w:rPr>
          <w:t>רע</w:t>
        </w:r>
        <w:r w:rsidRPr="006B2782" w:rsidR="006B2782">
          <w:rPr>
            <w:color w:val="0000FF"/>
            <w:u w:val="single"/>
            <w:rtl/>
          </w:rPr>
          <w:t>"</w:t>
        </w:r>
        <w:r w:rsidRPr="006B2782" w:rsidR="006B2782">
          <w:rPr>
            <w:rFonts w:hint="eastAsia"/>
            <w:color w:val="0000FF"/>
            <w:u w:val="single"/>
            <w:rtl/>
          </w:rPr>
          <w:t>א</w:t>
        </w:r>
        <w:r w:rsidRPr="006B2782" w:rsidR="006B2782">
          <w:rPr>
            <w:color w:val="0000FF"/>
            <w:u w:val="single"/>
            <w:rtl/>
          </w:rPr>
          <w:t xml:space="preserve"> 1804/22</w:t>
        </w:r>
      </w:hyperlink>
      <w:r>
        <w:rPr>
          <w:rtl/>
        </w:rPr>
        <w:t xml:space="preserve"> </w:t>
      </w:r>
      <w:r>
        <w:rPr>
          <w:rFonts w:ascii="Century" w:hAnsi="Century" w:cs="Miriam"/>
          <w:b/>
          <w:spacing w:val="0"/>
          <w:sz w:val="22"/>
          <w:szCs w:val="24"/>
          <w:rtl/>
        </w:rPr>
        <w:t>משוב שירותים בע"מ נ' עשור</w:t>
      </w:r>
      <w:r>
        <w:rPr>
          <w:rtl/>
        </w:rPr>
        <w:t xml:space="preserve">, פסקה 20 </w:t>
      </w:r>
      <w:r w:rsidR="00E56250">
        <w:rPr>
          <w:rFonts w:hint="cs"/>
          <w:rtl/>
        </w:rPr>
        <w:t>[נבו]</w:t>
      </w:r>
      <w:r w:rsidR="00E56250">
        <w:rPr>
          <w:rtl/>
        </w:rPr>
        <w:t xml:space="preserve"> </w:t>
      </w:r>
      <w:r>
        <w:rPr>
          <w:rtl/>
        </w:rPr>
        <w:t xml:space="preserve">(26.4.2022); </w:t>
      </w:r>
      <w:hyperlink r:id="rId13" w:history="1">
        <w:r w:rsidRPr="006B2782" w:rsidR="006B2782">
          <w:rPr>
            <w:rFonts w:hint="eastAsia"/>
            <w:color w:val="0000FF"/>
            <w:u w:val="single"/>
            <w:rtl/>
          </w:rPr>
          <w:t>רע</w:t>
        </w:r>
        <w:r w:rsidRPr="006B2782" w:rsidR="006B2782">
          <w:rPr>
            <w:color w:val="0000FF"/>
            <w:u w:val="single"/>
            <w:rtl/>
          </w:rPr>
          <w:t>"</w:t>
        </w:r>
        <w:r w:rsidRPr="006B2782" w:rsidR="006B2782">
          <w:rPr>
            <w:rFonts w:hint="eastAsia"/>
            <w:color w:val="0000FF"/>
            <w:u w:val="single"/>
            <w:rtl/>
          </w:rPr>
          <w:t>א</w:t>
        </w:r>
        <w:r w:rsidRPr="006B2782" w:rsidR="006B2782">
          <w:rPr>
            <w:color w:val="0000FF"/>
            <w:u w:val="single"/>
            <w:rtl/>
          </w:rPr>
          <w:t xml:space="preserve"> 562/21</w:t>
        </w:r>
      </w:hyperlink>
      <w:r>
        <w:rPr>
          <w:rtl/>
        </w:rPr>
        <w:t xml:space="preserve"> </w:t>
      </w:r>
      <w:r>
        <w:rPr>
          <w:rFonts w:ascii="Century" w:hAnsi="Century" w:cs="Miriam"/>
          <w:b/>
          <w:spacing w:val="0"/>
          <w:sz w:val="22"/>
          <w:szCs w:val="24"/>
          <w:rtl/>
        </w:rPr>
        <w:t>רונן מטרי – בתפקידו כמנהל מיוחד של עמותת תורה נ' לוונטהל</w:t>
      </w:r>
      <w:r>
        <w:rPr>
          <w:rtl/>
        </w:rPr>
        <w:t xml:space="preserve">, פסקה 3 </w:t>
      </w:r>
      <w:r w:rsidR="00E56250">
        <w:rPr>
          <w:rFonts w:hint="cs"/>
          <w:rtl/>
        </w:rPr>
        <w:t>[נבו]</w:t>
      </w:r>
      <w:r w:rsidR="00E56250">
        <w:rPr>
          <w:rtl/>
        </w:rPr>
        <w:t xml:space="preserve"> </w:t>
      </w:r>
      <w:r>
        <w:rPr>
          <w:rtl/>
        </w:rPr>
        <w:t>(28.1.2021)). לא מצאתי כי עניינו של המבקש נמנה עם אותם מקרים חריגים. מכל מקום, החלטה זו איבדה מחשיבותה משעה שההכרעות המהותיות בהליכי ההוצל"פ ניתנו כבר בחודש דצמבר 2024, וכל שנותר הוא להשלים את עריכתו של תחשיב החוב בעניין אקרשטיין בהתאם להחלטות שניתנו. ממיל</w:t>
      </w:r>
      <w:r>
        <w:rPr>
          <w:rtl/>
        </w:rPr>
        <w:t xml:space="preserve">א, עתיד בית המשפט המחוזי להידרש לבקשה זו בקרוב. </w:t>
      </w:r>
    </w:p>
    <w:p w:rsidR="00E00D06" w:rsidP="00E00D06">
      <w:pPr>
        <w:pStyle w:val="Ruller40"/>
        <w:numPr>
          <w:ilvl w:val="0"/>
          <w:numId w:val="0"/>
        </w:numPr>
        <w:rPr>
          <w:rtl/>
        </w:rPr>
      </w:pPr>
    </w:p>
    <w:p w:rsidR="00E00D06" w:rsidP="00E00D06">
      <w:pPr>
        <w:pStyle w:val="Ruller40"/>
      </w:pPr>
      <w:r>
        <w:rPr>
          <w:rtl/>
        </w:rPr>
        <w:t>אשר להשגתו השנייה. המבקש עותר, כזכור, לשנות מהחלטת בית המשפט המחוזי מיום 22.11.2023, בה נקבע כי תחשיב החוב בהתאם לפסקי הדין בתביעות האזרחיות, ייעשה במסגרת הליכי ההוצל"פ ולא בהליך הפש"ר. כידוע, לבית המשפט של</w:t>
      </w:r>
      <w:r>
        <w:rPr>
          <w:rtl/>
        </w:rPr>
        <w:t xml:space="preserve"> פשיטת רגל סמכות לעיין מחדש בהחלטותיו (ראו </w:t>
      </w:r>
      <w:hyperlink r:id="rId14" w:history="1">
        <w:r w:rsidRPr="0065117E" w:rsidR="0065117E">
          <w:rPr>
            <w:rStyle w:val="Hyperlink"/>
            <w:rFonts w:hint="eastAsia"/>
            <w:rtl/>
          </w:rPr>
          <w:t>סעיף</w:t>
        </w:r>
        <w:r w:rsidRPr="0065117E" w:rsidR="0065117E">
          <w:rPr>
            <w:rStyle w:val="Hyperlink"/>
            <w:rtl/>
          </w:rPr>
          <w:t xml:space="preserve"> 181</w:t>
        </w:r>
      </w:hyperlink>
      <w:r>
        <w:rPr>
          <w:rtl/>
        </w:rPr>
        <w:t xml:space="preserve"> ל</w:t>
      </w:r>
      <w:hyperlink r:id="rId11" w:history="1">
        <w:r w:rsidRPr="006B2782" w:rsidR="006B2782">
          <w:rPr>
            <w:rFonts w:hint="eastAsia"/>
            <w:color w:val="0000FF"/>
            <w:u w:val="single"/>
            <w:rtl/>
          </w:rPr>
          <w:t>פקודת</w:t>
        </w:r>
        <w:r w:rsidRPr="006B2782" w:rsidR="006B2782">
          <w:rPr>
            <w:color w:val="0000FF"/>
            <w:u w:val="single"/>
            <w:rtl/>
          </w:rPr>
          <w:t xml:space="preserve"> </w:t>
        </w:r>
        <w:r w:rsidRPr="006B2782" w:rsidR="006B2782">
          <w:rPr>
            <w:rFonts w:hint="eastAsia"/>
            <w:color w:val="0000FF"/>
            <w:u w:val="single"/>
            <w:rtl/>
          </w:rPr>
          <w:t>פשיטת</w:t>
        </w:r>
        <w:r w:rsidRPr="006B2782" w:rsidR="006B2782">
          <w:rPr>
            <w:color w:val="0000FF"/>
            <w:u w:val="single"/>
            <w:rtl/>
          </w:rPr>
          <w:t xml:space="preserve"> </w:t>
        </w:r>
        <w:r w:rsidRPr="006B2782" w:rsidR="006B2782">
          <w:rPr>
            <w:rFonts w:hint="eastAsia"/>
            <w:color w:val="0000FF"/>
            <w:u w:val="single"/>
            <w:rtl/>
          </w:rPr>
          <w:t>הרגל</w:t>
        </w:r>
      </w:hyperlink>
      <w:r>
        <w:rPr>
          <w:rtl/>
        </w:rPr>
        <w:t xml:space="preserve">) – ואולם הלכה היא כי סמכות זו תופעל ככלל רק במקרים של שינוי נסיבות מהותי או גילוי עובדה </w:t>
      </w:r>
      <w:r>
        <w:rPr>
          <w:rtl/>
        </w:rPr>
        <w:t xml:space="preserve">חדשה המצדיקים לשנות מן ההחלטה; או כאשר נפלה בהחלטה טעות טכנית ברורה (ראו למשל: </w:t>
      </w:r>
      <w:hyperlink r:id="rId15" w:history="1">
        <w:r w:rsidRPr="006B2782" w:rsidR="006B2782">
          <w:rPr>
            <w:rFonts w:hint="eastAsia"/>
            <w:color w:val="0000FF"/>
            <w:u w:val="single"/>
            <w:rtl/>
          </w:rPr>
          <w:t>ע</w:t>
        </w:r>
        <w:r w:rsidRPr="006B2782" w:rsidR="006B2782">
          <w:rPr>
            <w:color w:val="0000FF"/>
            <w:u w:val="single"/>
            <w:rtl/>
          </w:rPr>
          <w:t>"</w:t>
        </w:r>
        <w:r w:rsidRPr="006B2782" w:rsidR="006B2782">
          <w:rPr>
            <w:rFonts w:hint="eastAsia"/>
            <w:color w:val="0000FF"/>
            <w:u w:val="single"/>
            <w:rtl/>
          </w:rPr>
          <w:t>א</w:t>
        </w:r>
        <w:r w:rsidRPr="006B2782" w:rsidR="006B2782">
          <w:rPr>
            <w:color w:val="0000FF"/>
            <w:u w:val="single"/>
            <w:rtl/>
          </w:rPr>
          <w:t xml:space="preserve"> 7188/18</w:t>
        </w:r>
      </w:hyperlink>
      <w:r>
        <w:rPr>
          <w:rtl/>
        </w:rPr>
        <w:t xml:space="preserve"> </w:t>
      </w:r>
      <w:r>
        <w:rPr>
          <w:rFonts w:ascii="Century" w:hAnsi="Century" w:cs="Miriam"/>
          <w:b/>
          <w:spacing w:val="0"/>
          <w:sz w:val="22"/>
          <w:szCs w:val="24"/>
          <w:rtl/>
        </w:rPr>
        <w:t>עו"ד אמיר נ' חנאי</w:t>
      </w:r>
      <w:r>
        <w:rPr>
          <w:rtl/>
        </w:rPr>
        <w:t xml:space="preserve">, פסקה 30 </w:t>
      </w:r>
      <w:r w:rsidR="00E56250">
        <w:rPr>
          <w:rFonts w:hint="cs"/>
          <w:rtl/>
        </w:rPr>
        <w:t>[נבו]</w:t>
      </w:r>
      <w:r w:rsidR="00E56250">
        <w:rPr>
          <w:rtl/>
        </w:rPr>
        <w:t xml:space="preserve"> </w:t>
      </w:r>
      <w:r>
        <w:rPr>
          <w:rtl/>
        </w:rPr>
        <w:t xml:space="preserve">(28.12.2020); </w:t>
      </w:r>
      <w:hyperlink r:id="rId16" w:history="1">
        <w:r w:rsidRPr="006B2782" w:rsidR="006B2782">
          <w:rPr>
            <w:rFonts w:hint="eastAsia"/>
            <w:color w:val="0000FF"/>
            <w:u w:val="single"/>
            <w:rtl/>
          </w:rPr>
          <w:t>רע</w:t>
        </w:r>
        <w:r w:rsidRPr="006B2782" w:rsidR="006B2782">
          <w:rPr>
            <w:color w:val="0000FF"/>
            <w:u w:val="single"/>
            <w:rtl/>
          </w:rPr>
          <w:t>"</w:t>
        </w:r>
        <w:r w:rsidRPr="006B2782" w:rsidR="006B2782">
          <w:rPr>
            <w:rFonts w:hint="eastAsia"/>
            <w:color w:val="0000FF"/>
            <w:u w:val="single"/>
            <w:rtl/>
          </w:rPr>
          <w:t>א</w:t>
        </w:r>
        <w:r w:rsidRPr="006B2782" w:rsidR="006B2782">
          <w:rPr>
            <w:color w:val="0000FF"/>
            <w:u w:val="single"/>
            <w:rtl/>
          </w:rPr>
          <w:t xml:space="preserve"> 5606/23</w:t>
        </w:r>
      </w:hyperlink>
      <w:r>
        <w:rPr>
          <w:rtl/>
        </w:rPr>
        <w:t xml:space="preserve"> </w:t>
      </w:r>
      <w:r>
        <w:rPr>
          <w:rFonts w:ascii="Century" w:hAnsi="Century" w:cs="Miriam"/>
          <w:b/>
          <w:spacing w:val="0"/>
          <w:sz w:val="22"/>
          <w:szCs w:val="24"/>
          <w:rtl/>
        </w:rPr>
        <w:t>ב</w:t>
      </w:r>
      <w:r>
        <w:rPr>
          <w:rFonts w:ascii="Century" w:hAnsi="Century" w:cs="Miriam"/>
          <w:b/>
          <w:spacing w:val="0"/>
          <w:sz w:val="22"/>
          <w:szCs w:val="24"/>
          <w:rtl/>
        </w:rPr>
        <w:t>לובל נ' הולנדר</w:t>
      </w:r>
      <w:r>
        <w:rPr>
          <w:rtl/>
        </w:rPr>
        <w:t xml:space="preserve">, פסקה 11 </w:t>
      </w:r>
      <w:r w:rsidR="00E56250">
        <w:rPr>
          <w:rFonts w:hint="cs"/>
          <w:rtl/>
        </w:rPr>
        <w:t>[נבו]</w:t>
      </w:r>
      <w:r w:rsidR="00E56250">
        <w:rPr>
          <w:rtl/>
        </w:rPr>
        <w:t xml:space="preserve"> </w:t>
      </w:r>
      <w:r>
        <w:rPr>
          <w:rtl/>
        </w:rPr>
        <w:t xml:space="preserve">(4.9.2023)). בענייננו, לא מצאתי כי נפלה טעות בקביעת בית המשפט המחוזי כי המבקש לא הציג עילה לעיון חוזר בהחלטה הנדונה. </w:t>
      </w:r>
    </w:p>
    <w:p w:rsidR="00E00D06" w:rsidP="00E00D06">
      <w:pPr>
        <w:pStyle w:val="Ruller4"/>
        <w:rPr>
          <w:rtl/>
        </w:rPr>
      </w:pPr>
    </w:p>
    <w:p w:rsidR="00E00D06" w:rsidP="00E00D06">
      <w:pPr>
        <w:pStyle w:val="Ruller40"/>
        <w:rPr>
          <w:rtl/>
        </w:rPr>
      </w:pPr>
      <w:r>
        <w:rPr>
          <w:rtl/>
        </w:rPr>
        <w:t xml:space="preserve">החלטת בית המשפט המחוזי מיום 22.11.2023 היא רק אחת מבין שורה של החלטות שניתנו על-ידי בית המשפט המחוזי, החל משנת 2017, שלפיהן נדחו בקשות המבקש לסגירת הליכי ההוצל"פ והעברת ההכרעה בתביעת החוב לנאמן, תוך שנקבע כי בירור גובה החוב ייערך במסגרת הליכי ההוצל"פ (ראו </w:t>
      </w:r>
      <w:r>
        <w:rPr>
          <w:rtl/>
        </w:rPr>
        <w:t xml:space="preserve">החלטות מיום 12.7.2017; מיום 22.11.2017; מיום 22.11.2023 ומיום 28.11.2023. וראו גם </w:t>
      </w:r>
      <w:hyperlink r:id="rId17" w:history="1">
        <w:r w:rsidRPr="006B2782" w:rsidR="006B2782">
          <w:rPr>
            <w:rFonts w:hint="eastAsia"/>
            <w:color w:val="0000FF"/>
            <w:u w:val="single"/>
            <w:rtl/>
          </w:rPr>
          <w:t>רע</w:t>
        </w:r>
        <w:r w:rsidRPr="006B2782" w:rsidR="006B2782">
          <w:rPr>
            <w:color w:val="0000FF"/>
            <w:u w:val="single"/>
            <w:rtl/>
          </w:rPr>
          <w:t>"</w:t>
        </w:r>
        <w:r w:rsidRPr="006B2782" w:rsidR="006B2782">
          <w:rPr>
            <w:rFonts w:hint="eastAsia"/>
            <w:color w:val="0000FF"/>
            <w:u w:val="single"/>
            <w:rtl/>
          </w:rPr>
          <w:t>א</w:t>
        </w:r>
        <w:r w:rsidRPr="006B2782" w:rsidR="006B2782">
          <w:rPr>
            <w:color w:val="0000FF"/>
            <w:u w:val="single"/>
            <w:rtl/>
          </w:rPr>
          <w:t xml:space="preserve"> 7346/17</w:t>
        </w:r>
      </w:hyperlink>
      <w:r>
        <w:rPr>
          <w:rtl/>
        </w:rPr>
        <w:t xml:space="preserve"> </w:t>
      </w:r>
      <w:r w:rsidR="00E56250">
        <w:rPr>
          <w:rFonts w:hint="cs"/>
          <w:rtl/>
        </w:rPr>
        <w:t>[נבו]</w:t>
      </w:r>
      <w:r w:rsidR="00E56250">
        <w:rPr>
          <w:rtl/>
        </w:rPr>
        <w:t xml:space="preserve"> </w:t>
      </w:r>
      <w:r>
        <w:rPr>
          <w:rtl/>
        </w:rPr>
        <w:t xml:space="preserve">(28.11.2017)). בינתיים, קוימו החלטות אלה ובפועל בוצעו תחשיבי החוב במסגרת הליכי ההוצל"פ. לפיכך, דומה כי המבקש בבקשתו האחרונה איחר את המועד לשינוי ההחלטה הנדונה. </w:t>
      </w:r>
    </w:p>
    <w:p w:rsidR="00E00D06" w:rsidP="00E00D06">
      <w:pPr>
        <w:pStyle w:val="Ruller4"/>
        <w:rPr>
          <w:rtl/>
        </w:rPr>
      </w:pPr>
    </w:p>
    <w:p w:rsidR="00E00D06" w:rsidP="00E00D06">
      <w:pPr>
        <w:pStyle w:val="Ruller40"/>
      </w:pPr>
      <w:r>
        <w:rPr>
          <w:rtl/>
        </w:rPr>
        <w:t xml:space="preserve">למעשה, בקשתו של המבקש היא לערוך את תחשיב תביעות החוב של המשיבים בהתאם להוראות </w:t>
      </w:r>
      <w:hyperlink r:id="rId11" w:history="1">
        <w:r w:rsidRPr="006B2782" w:rsidR="006B2782">
          <w:rPr>
            <w:rFonts w:hint="eastAsia"/>
            <w:color w:val="0000FF"/>
            <w:u w:val="single"/>
            <w:rtl/>
          </w:rPr>
          <w:t>פקודת</w:t>
        </w:r>
        <w:r w:rsidRPr="006B2782" w:rsidR="006B2782">
          <w:rPr>
            <w:color w:val="0000FF"/>
            <w:u w:val="single"/>
            <w:rtl/>
          </w:rPr>
          <w:t xml:space="preserve"> </w:t>
        </w:r>
        <w:r w:rsidRPr="006B2782" w:rsidR="006B2782">
          <w:rPr>
            <w:rFonts w:hint="eastAsia"/>
            <w:color w:val="0000FF"/>
            <w:u w:val="single"/>
            <w:rtl/>
          </w:rPr>
          <w:t>פשיטת</w:t>
        </w:r>
        <w:r w:rsidRPr="006B2782" w:rsidR="006B2782">
          <w:rPr>
            <w:color w:val="0000FF"/>
            <w:u w:val="single"/>
            <w:rtl/>
          </w:rPr>
          <w:t xml:space="preserve"> </w:t>
        </w:r>
        <w:r w:rsidRPr="006B2782" w:rsidR="006B2782">
          <w:rPr>
            <w:rFonts w:hint="eastAsia"/>
            <w:color w:val="0000FF"/>
            <w:u w:val="single"/>
            <w:rtl/>
          </w:rPr>
          <w:t>הרגל</w:t>
        </w:r>
      </w:hyperlink>
      <w:r>
        <w:rPr>
          <w:rtl/>
        </w:rPr>
        <w:t>, ולא בהתאם להוראות חוק ההוצל"פ. טענתו היא  כי עתה, משנתברר מהחלטות רשמות ההוצל"פ, כי אין זה בסמכותן לערוך את תחשיב החוב בהתאם להוראות הפקודה, יש להורות על עריכת תחשיב החוב בבית משפט של פש"ר בהתאם להוראות הפקו</w:t>
      </w:r>
      <w:r>
        <w:rPr>
          <w:rtl/>
        </w:rPr>
        <w:t xml:space="preserve">דה. עמדתו של הנאמן דומה. גם הכנ"ר מסכים לטענת המבקש כי העברת ההכרעה בתחשיב החוב ללשכת ההוצאה לפועל גרמה ל"תאונה משפטית", הן בהיבט של גובה הריבית והן בהיבט של טענות הקיזוז, שעה שהוראות </w:t>
      </w:r>
      <w:hyperlink r:id="rId11" w:history="1">
        <w:r w:rsidRPr="006B2782" w:rsidR="006B2782">
          <w:rPr>
            <w:rFonts w:hint="eastAsia"/>
            <w:color w:val="0000FF"/>
            <w:u w:val="single"/>
            <w:rtl/>
          </w:rPr>
          <w:t>פקודת</w:t>
        </w:r>
        <w:r w:rsidRPr="006B2782" w:rsidR="006B2782">
          <w:rPr>
            <w:color w:val="0000FF"/>
            <w:u w:val="single"/>
            <w:rtl/>
          </w:rPr>
          <w:t xml:space="preserve"> </w:t>
        </w:r>
        <w:r w:rsidRPr="006B2782" w:rsidR="006B2782">
          <w:rPr>
            <w:rFonts w:hint="eastAsia"/>
            <w:color w:val="0000FF"/>
            <w:u w:val="single"/>
            <w:rtl/>
          </w:rPr>
          <w:t>פשיטת</w:t>
        </w:r>
        <w:r w:rsidRPr="006B2782" w:rsidR="006B2782">
          <w:rPr>
            <w:color w:val="0000FF"/>
            <w:u w:val="single"/>
            <w:rtl/>
          </w:rPr>
          <w:t xml:space="preserve"> </w:t>
        </w:r>
        <w:r w:rsidRPr="006B2782" w:rsidR="006B2782">
          <w:rPr>
            <w:rFonts w:hint="eastAsia"/>
            <w:color w:val="0000FF"/>
            <w:u w:val="single"/>
            <w:rtl/>
          </w:rPr>
          <w:t>הרגל</w:t>
        </w:r>
      </w:hyperlink>
      <w:r>
        <w:rPr>
          <w:rtl/>
        </w:rPr>
        <w:t xml:space="preserve"> קובעות ה</w:t>
      </w:r>
      <w:r>
        <w:rPr>
          <w:rtl/>
        </w:rPr>
        <w:t>סדרים שונים מאלה הקבועים בחוק ההוצל"פ. עם זאת הוא סבור, כי השגגה נפלה בהחלטות שנתקבלו על-ידי רשמות ההוצל"פ, אשר ביססו הכרעותיהן על חוק ההוצל"פ ולא על הפקודה – ולפיכך הדרך המתאימה להשיג על כך היא באמצעות הגשת הליך ערעורי על החלטות אלה, חלף הגשת בקשה נוספת ל</w:t>
      </w:r>
      <w:r>
        <w:rPr>
          <w:rtl/>
        </w:rPr>
        <w:t xml:space="preserve">העברת תביעות החוב להכרעת הנאמן. </w:t>
      </w:r>
    </w:p>
    <w:p w:rsidR="00E00D06" w:rsidP="00E00D06">
      <w:pPr>
        <w:pStyle w:val="Ruller4"/>
        <w:rPr>
          <w:rtl/>
        </w:rPr>
      </w:pPr>
    </w:p>
    <w:p w:rsidR="00E00D06" w:rsidP="00993C9D">
      <w:pPr>
        <w:pStyle w:val="Ruller40"/>
      </w:pPr>
      <w:r>
        <w:rPr>
          <w:rtl/>
        </w:rPr>
        <w:t xml:space="preserve">כשלעצמי, אינני משוכנעת כי עמדת הכנ"ר היא העמדה המתחייבת, כאשר מחד גיסא נקבע על-ידי בית משפט זה, כי בית </w:t>
      </w:r>
      <w:r>
        <w:rPr>
          <w:rtl/>
        </w:rPr>
        <w:t xml:space="preserve">המשפט האזרחי ידון בתביעות החוב </w:t>
      </w:r>
      <w:r>
        <w:rPr>
          <w:rFonts w:ascii="Century" w:hAnsi="Century" w:cs="Miriam"/>
          <w:b/>
          <w:spacing w:val="0"/>
          <w:sz w:val="22"/>
          <w:szCs w:val="24"/>
          <w:rtl/>
        </w:rPr>
        <w:t>"כאילו היה בית המשפט של פש"ר או המנהל המיוחד"</w:t>
      </w:r>
      <w:r>
        <w:rPr>
          <w:rtl/>
        </w:rPr>
        <w:t xml:space="preserve">, ומאידך גיסא נקבע על-ידי בית המשפט האזרחי </w:t>
      </w:r>
      <w:r>
        <w:rPr>
          <w:rtl/>
        </w:rPr>
        <w:t xml:space="preserve">– </w:t>
      </w:r>
      <w:r w:rsidR="00062656">
        <w:rPr>
          <w:rFonts w:hint="cs"/>
          <w:rtl/>
        </w:rPr>
        <w:t xml:space="preserve">החלטה שיושמה על-ידי </w:t>
      </w:r>
      <w:r>
        <w:rPr>
          <w:rtl/>
        </w:rPr>
        <w:t xml:space="preserve">רשמת ההוצל"פ – כי יחולו על החוב </w:t>
      </w:r>
      <w:r>
        <w:rPr>
          <w:rFonts w:ascii="Century" w:hAnsi="Century" w:cs="Miriam"/>
          <w:b/>
          <w:spacing w:val="0"/>
          <w:sz w:val="22"/>
          <w:szCs w:val="24"/>
          <w:rtl/>
        </w:rPr>
        <w:t xml:space="preserve">"ההסדרים לפי </w:t>
      </w:r>
      <w:hyperlink r:id="rId10" w:history="1">
        <w:r w:rsidRPr="006B2782" w:rsidR="006B2782">
          <w:rPr>
            <w:rFonts w:ascii="Century" w:hAnsi="Century" w:cs="Miriam" w:hint="eastAsia"/>
            <w:b/>
            <w:color w:val="0000FF"/>
            <w:spacing w:val="0"/>
            <w:sz w:val="22"/>
            <w:szCs w:val="24"/>
            <w:u w:val="single"/>
            <w:rtl/>
          </w:rPr>
          <w:t>חוק</w:t>
        </w:r>
        <w:r w:rsidRPr="006B2782" w:rsidR="006B2782">
          <w:rPr>
            <w:rFonts w:ascii="Century" w:hAnsi="Century" w:cs="Miriam"/>
            <w:b/>
            <w:color w:val="0000FF"/>
            <w:spacing w:val="0"/>
            <w:sz w:val="22"/>
            <w:szCs w:val="24"/>
            <w:u w:val="single"/>
            <w:rtl/>
          </w:rPr>
          <w:t xml:space="preserve"> </w:t>
        </w:r>
        <w:r w:rsidRPr="006B2782" w:rsidR="006B2782">
          <w:rPr>
            <w:rFonts w:ascii="Century" w:hAnsi="Century" w:cs="Miriam" w:hint="eastAsia"/>
            <w:b/>
            <w:color w:val="0000FF"/>
            <w:spacing w:val="0"/>
            <w:sz w:val="22"/>
            <w:szCs w:val="24"/>
            <w:u w:val="single"/>
            <w:rtl/>
          </w:rPr>
          <w:t>ההוצאה</w:t>
        </w:r>
        <w:r w:rsidRPr="006B2782" w:rsidR="006B2782">
          <w:rPr>
            <w:rFonts w:ascii="Century" w:hAnsi="Century" w:cs="Miriam"/>
            <w:b/>
            <w:color w:val="0000FF"/>
            <w:spacing w:val="0"/>
            <w:sz w:val="22"/>
            <w:szCs w:val="24"/>
            <w:u w:val="single"/>
            <w:rtl/>
          </w:rPr>
          <w:t xml:space="preserve"> </w:t>
        </w:r>
        <w:r w:rsidRPr="006B2782" w:rsidR="006B2782">
          <w:rPr>
            <w:rFonts w:ascii="Century" w:hAnsi="Century" w:cs="Miriam" w:hint="eastAsia"/>
            <w:b/>
            <w:color w:val="0000FF"/>
            <w:spacing w:val="0"/>
            <w:sz w:val="22"/>
            <w:szCs w:val="24"/>
            <w:u w:val="single"/>
            <w:rtl/>
          </w:rPr>
          <w:t>לפועל</w:t>
        </w:r>
      </w:hyperlink>
      <w:r>
        <w:rPr>
          <w:rFonts w:ascii="Century" w:hAnsi="Century" w:cs="Miriam"/>
          <w:b/>
          <w:spacing w:val="0"/>
          <w:sz w:val="22"/>
          <w:szCs w:val="24"/>
          <w:rtl/>
        </w:rPr>
        <w:t>"</w:t>
      </w:r>
      <w:r>
        <w:rPr>
          <w:rtl/>
        </w:rPr>
        <w:t xml:space="preserve"> (ראו פסק הדין בעניין אקרשטיין, בפסקה 22; וכן החלטת בית המשפט המחוזי מיום 22.11.2023 בה נקבע כי יש לבצע את תחשיב החוב בהתאם לפסקי הדין של הערכאות האזר</w:t>
      </w:r>
      <w:r w:rsidR="00062656">
        <w:rPr>
          <w:rtl/>
        </w:rPr>
        <w:t xml:space="preserve">חיות). דומה כי הוראות אלה </w:t>
      </w:r>
      <w:r w:rsidR="00993C9D">
        <w:rPr>
          <w:rFonts w:hint="cs"/>
          <w:rtl/>
        </w:rPr>
        <w:t>יצרו</w:t>
      </w:r>
      <w:r>
        <w:rPr>
          <w:rtl/>
        </w:rPr>
        <w:t xml:space="preserve"> שני מסלולי חישוב נורמטיביים</w:t>
      </w:r>
      <w:r w:rsidR="00062656">
        <w:rPr>
          <w:rFonts w:hint="cs"/>
          <w:rtl/>
        </w:rPr>
        <w:t xml:space="preserve"> </w:t>
      </w:r>
      <w:r w:rsidR="00993C9D">
        <w:rPr>
          <w:rFonts w:hint="cs"/>
          <w:rtl/>
        </w:rPr>
        <w:t>שונים</w:t>
      </w:r>
      <w:r w:rsidR="00062656">
        <w:rPr>
          <w:rFonts w:hint="cs"/>
          <w:rtl/>
        </w:rPr>
        <w:t xml:space="preserve">, </w:t>
      </w:r>
      <w:r w:rsidR="00993C9D">
        <w:rPr>
          <w:rFonts w:hint="cs"/>
          <w:rtl/>
        </w:rPr>
        <w:t>ו</w:t>
      </w:r>
      <w:r w:rsidR="00062656">
        <w:rPr>
          <w:rFonts w:hint="cs"/>
          <w:rtl/>
        </w:rPr>
        <w:t>בהיבטים מסוימים</w:t>
      </w:r>
      <w:r w:rsidR="00993C9D">
        <w:rPr>
          <w:rFonts w:hint="cs"/>
          <w:rtl/>
        </w:rPr>
        <w:t xml:space="preserve"> אף סותרים</w:t>
      </w:r>
      <w:r>
        <w:rPr>
          <w:rtl/>
        </w:rPr>
        <w:t>. מכל מקום, הפ</w:t>
      </w:r>
      <w:r>
        <w:rPr>
          <w:rtl/>
        </w:rPr>
        <w:t>תרון ל"תאונה המשפטית" האמורה</w:t>
      </w:r>
      <w:r w:rsidR="009057D5">
        <w:rPr>
          <w:rFonts w:hint="cs"/>
          <w:rtl/>
        </w:rPr>
        <w:t>,</w:t>
      </w:r>
      <w:r>
        <w:rPr>
          <w:rtl/>
        </w:rPr>
        <w:t xml:space="preserve"> אינו טמון בהליכי עיון מחדש על החלטות שנתקבלו ומולאו זה מכבר, אלא בהשבת הדיון לבית משפט של פש"ר על מנת שיכריע בגובה נשייתם של המשיבים לצורך קביעת הדיבידנד לו הם זכאים. במסגרת זו, יהיה הצדדים רשאים להעלות את טענותיהם לעניין הפער</w:t>
      </w:r>
      <w:r>
        <w:rPr>
          <w:rtl/>
        </w:rPr>
        <w:t xml:space="preserve"> בין שני מסלולי החישוב השונים והשלכותיו על גובה הנשייה והדיבידנד, ובית המשפט המחוזי יכריע בדבר כחוכמתו, מבלי שאני נוקטת עמדה לגוף הדברים.</w:t>
      </w:r>
    </w:p>
    <w:p w:rsidR="00E00D06" w:rsidP="00E00D06">
      <w:pPr>
        <w:pStyle w:val="Ruller40"/>
        <w:numPr>
          <w:ilvl w:val="0"/>
          <w:numId w:val="0"/>
        </w:numPr>
        <w:rPr>
          <w:rtl/>
        </w:rPr>
      </w:pPr>
    </w:p>
    <w:p w:rsidR="00E00D06" w:rsidP="00E00D06">
      <w:pPr>
        <w:pStyle w:val="Ruller40"/>
      </w:pPr>
      <w:r>
        <w:rPr>
          <w:rtl/>
        </w:rPr>
        <w:t>בכפוף לאמור לעיל, בקשות רשות הערעור נדחות ללא צו להוצאות. בשולי ההחלטה אעיר, כי לנוכח חלוף הזמן מאז ניתן צו ההפטר, וה</w:t>
      </w:r>
      <w:r>
        <w:rPr>
          <w:rtl/>
        </w:rPr>
        <w:t xml:space="preserve">הליכים הרבים שהתקיימו מאז, יש לעשות מאמץ ולהכריע בתביעת החוב של המשיבים בהקדם. זאת בפרט, משהסוגיה היחידה שנותרה על הפרק נוגעת להיבטים מסוימים של אופן חישוב תביעות החוב, ועל פני הדברים אינה מורכבת. </w:t>
      </w:r>
    </w:p>
    <w:p w:rsidR="001D27E2" w:rsidRPr="009D317C">
      <w:pPr>
        <w:spacing w:line="360" w:lineRule="auto"/>
        <w:jc w:val="both"/>
        <w:rPr>
          <w:rFonts w:ascii="FrankRuehl" w:hAnsi="FrankRuehl" w:cs="FrankRuehl"/>
          <w:spacing w:val="10"/>
          <w:sz w:val="28"/>
          <w:szCs w:val="28"/>
          <w:rtl/>
        </w:rPr>
      </w:pPr>
    </w:p>
    <w:p w:rsidR="00C43648" w:rsidRPr="009D317C" w:rsidP="00BD6531">
      <w:pPr>
        <w:tabs>
          <w:tab w:val="left" w:pos="2553"/>
        </w:tabs>
        <w:ind w:left="5040"/>
        <w:rPr>
          <w:rFonts w:ascii="FrankRuehl" w:hAnsi="FrankRuehl" w:cs="FrankRuehl"/>
          <w:spacing w:val="10"/>
          <w:sz w:val="28"/>
          <w:szCs w:val="28"/>
          <w:rtl/>
        </w:rPr>
      </w:pPr>
      <w:bookmarkStart w:id="11" w:name="Nitan"/>
      <w:r>
        <w:rPr>
          <w:rFonts w:ascii="FrankRuehl" w:hAnsi="FrankRuehl" w:cs="FrankRuehl"/>
          <w:spacing w:val="10"/>
          <w:sz w:val="28"/>
          <w:szCs w:val="28"/>
          <w:rtl/>
        </w:rPr>
        <w:t xml:space="preserve">ניתנה היום, ג' אלול תשפ"ה (27 אוגוסט 2025). </w:t>
      </w:r>
      <w:bookmarkEnd w:id="11"/>
    </w:p>
    <w:p w:rsidR="00694556" w:rsidRPr="006B2782" w:rsidP="00146EF0">
      <w:pPr>
        <w:tabs>
          <w:tab w:val="left" w:pos="2553"/>
        </w:tabs>
        <w:rPr>
          <w:rFonts w:ascii="FrankRuehl" w:hAnsi="FrankRuehl" w:cs="FrankRuehl"/>
          <w:color w:val="FFFFFF"/>
          <w:sz w:val="2"/>
          <w:szCs w:val="2"/>
          <w:rtl/>
        </w:rPr>
      </w:pPr>
      <w:r w:rsidRPr="006B2782">
        <w:rPr>
          <w:rFonts w:ascii="FrankRuehl" w:hAnsi="FrankRuehl" w:cs="FrankRuehl"/>
          <w:color w:val="FFFFFF"/>
          <w:sz w:val="2"/>
          <w:szCs w:val="2"/>
          <w:rtl/>
        </w:rPr>
        <w:t>5129371</w:t>
      </w:r>
      <w:r w:rsidRPr="006B2782" w:rsidR="00BD6531">
        <w:rPr>
          <w:rFonts w:ascii="FrankRuehl" w:hAnsi="FrankRuehl" w:cs="FrankRuehl"/>
          <w:color w:val="FFFFFF"/>
          <w:sz w:val="2"/>
          <w:szCs w:val="2"/>
          <w:rtl/>
        </w:rPr>
        <w:tab/>
      </w:r>
      <w:r w:rsidRPr="006B2782" w:rsidR="00BD6531">
        <w:rPr>
          <w:rFonts w:ascii="FrankRuehl" w:hAnsi="FrankRuehl" w:cs="FrankRuehl"/>
          <w:color w:val="FFFFFF"/>
          <w:sz w:val="2"/>
          <w:szCs w:val="2"/>
          <w:rtl/>
        </w:rPr>
        <w:tab/>
      </w:r>
      <w:r w:rsidRPr="006B2782" w:rsidR="00BD6531">
        <w:rPr>
          <w:rFonts w:ascii="FrankRuehl" w:hAnsi="FrankRuehl" w:cs="FrankRuehl"/>
          <w:color w:val="FFFFFF"/>
          <w:sz w:val="2"/>
          <w:szCs w:val="2"/>
          <w:rtl/>
        </w:rPr>
        <w:tab/>
      </w:r>
      <w:r w:rsidRPr="006B2782" w:rsidR="00BD6531">
        <w:rPr>
          <w:rFonts w:ascii="FrankRuehl" w:hAnsi="FrankRuehl" w:cs="FrankRuehl"/>
          <w:color w:val="FFFFFF"/>
          <w:sz w:val="2"/>
          <w:szCs w:val="2"/>
          <w:rtl/>
        </w:rPr>
        <w:tab/>
        <w:t xml:space="preserve">        </w:t>
      </w:r>
    </w:p>
    <w:tbl>
      <w:tblPr>
        <w:bidiVisual/>
        <w:tblW w:w="0" w:type="auto"/>
        <w:jc w:val="center"/>
        <w:tblLook w:val="04A0"/>
      </w:tblPr>
      <w:tblGrid>
        <w:gridCol w:w="2765"/>
        <w:gridCol w:w="2766"/>
        <w:gridCol w:w="2766"/>
      </w:tblGrid>
      <w:tr w:rsidTr="006B2782">
        <w:tblPrEx>
          <w:tblW w:w="0" w:type="auto"/>
          <w:jc w:val="center"/>
          <w:tblLook w:val="04A0"/>
        </w:tblPrEx>
        <w:trPr>
          <w:jc w:val="center"/>
        </w:trPr>
        <w:tc>
          <w:tcPr>
            <w:tcW w:w="2765" w:type="dxa"/>
            <w:shd w:val="clear" w:color="auto" w:fill="auto"/>
          </w:tcPr>
          <w:p w:rsidR="00146EF0" w:rsidRPr="006B2782" w:rsidP="006B2782">
            <w:pPr>
              <w:tabs>
                <w:tab w:val="left" w:pos="2553"/>
              </w:tabs>
              <w:rPr>
                <w:rFonts w:ascii="FrankRuehl" w:hAnsi="FrankRuehl" w:cs="FrankRuehl"/>
                <w:color w:val="FFFFFF"/>
                <w:sz w:val="2"/>
                <w:szCs w:val="2"/>
                <w:rtl/>
              </w:rPr>
            </w:pPr>
            <w:r w:rsidRPr="006B2782">
              <w:rPr>
                <w:rFonts w:ascii="FrankRuehl" w:hAnsi="FrankRuehl" w:cs="FrankRuehl"/>
                <w:color w:val="FFFFFF"/>
                <w:sz w:val="2"/>
                <w:szCs w:val="2"/>
                <w:rtl/>
              </w:rPr>
              <w:t>54678313</w:t>
            </w:r>
          </w:p>
        </w:tc>
        <w:tc>
          <w:tcPr>
            <w:tcW w:w="2766" w:type="dxa"/>
            <w:shd w:val="clear" w:color="auto" w:fill="auto"/>
          </w:tcPr>
          <w:p w:rsidR="00146EF0" w:rsidRPr="006B2782" w:rsidP="006B2782">
            <w:pPr>
              <w:tabs>
                <w:tab w:val="left" w:pos="2553"/>
              </w:tabs>
              <w:rPr>
                <w:rFonts w:ascii="FrankRuehl" w:hAnsi="FrankRuehl" w:cs="FrankRuehl"/>
                <w:sz w:val="28"/>
                <w:szCs w:val="28"/>
                <w:rtl/>
              </w:rPr>
            </w:pPr>
          </w:p>
        </w:tc>
        <w:tc>
          <w:tcPr>
            <w:tcW w:w="2766" w:type="dxa"/>
            <w:shd w:val="clear" w:color="auto" w:fill="auto"/>
          </w:tcPr>
          <w:p w:rsidR="006B2782" w:rsidRPr="006B2782" w:rsidP="00B70DD1">
            <w:pPr>
              <w:rPr>
                <w:rFonts w:ascii="Courier New" w:hAnsi="Courier New"/>
                <w:rtl/>
              </w:rPr>
            </w:pPr>
          </w:p>
          <w:p w:rsidR="006B2782" w:rsidRPr="006B2782" w:rsidP="006B2782">
            <w:pPr>
              <w:pStyle w:val="Heading3"/>
              <w:spacing w:line="240" w:lineRule="auto"/>
              <w:jc w:val="left"/>
              <w:rPr>
                <w:rFonts w:cs="FrankRuehl"/>
                <w:b w:val="0"/>
                <w:bCs w:val="0"/>
                <w:spacing w:val="10"/>
                <w:sz w:val="28"/>
                <w:szCs w:val="28"/>
                <w:rtl/>
              </w:rPr>
            </w:pPr>
            <w:r w:rsidRPr="006B2782">
              <w:rPr>
                <w:rFonts w:cs="FrankRuehl" w:hint="cs"/>
                <w:b w:val="0"/>
                <w:bCs w:val="0"/>
                <w:spacing w:val="10"/>
                <w:sz w:val="28"/>
                <w:szCs w:val="28"/>
                <w:rtl/>
              </w:rPr>
              <w:t xml:space="preserve">גילה כנפי-שטייניץ </w:t>
            </w:r>
            <w:r w:rsidRPr="006B2782">
              <w:rPr>
                <w:rFonts w:cs="FrankRuehl"/>
                <w:b w:val="0"/>
                <w:bCs w:val="0"/>
                <w:spacing w:val="10"/>
                <w:sz w:val="28"/>
                <w:szCs w:val="28"/>
                <w:rtl/>
              </w:rPr>
              <w:t>שופטת</w:t>
            </w:r>
          </w:p>
          <w:p w:rsidR="00146EF0" w:rsidRPr="006B2782" w:rsidP="006B2782">
            <w:pPr>
              <w:tabs>
                <w:tab w:val="left" w:pos="2553"/>
              </w:tabs>
              <w:rPr>
                <w:rFonts w:ascii="FrankRuehl" w:hAnsi="FrankRuehl" w:cs="FrankRuehl"/>
                <w:sz w:val="28"/>
                <w:szCs w:val="28"/>
              </w:rPr>
            </w:pPr>
          </w:p>
        </w:tc>
      </w:tr>
    </w:tbl>
    <w:p w:rsidR="00146EF0" w:rsidRPr="006B2782" w:rsidP="006B2782">
      <w:pPr>
        <w:keepNext/>
        <w:tabs>
          <w:tab w:val="left" w:pos="2553"/>
        </w:tabs>
        <w:rPr>
          <w:rFonts w:ascii="David" w:hAnsi="David"/>
          <w:color w:val="000000"/>
          <w:sz w:val="22"/>
          <w:szCs w:val="22"/>
          <w:rtl/>
        </w:rPr>
      </w:pPr>
    </w:p>
    <w:p w:rsidR="006B2782" w:rsidRPr="006B2782" w:rsidP="006B2782">
      <w:pPr>
        <w:tabs>
          <w:tab w:val="left" w:pos="2553"/>
        </w:tabs>
        <w:jc w:val="center"/>
        <w:rPr>
          <w:rFonts w:ascii="FrankRuehl" w:hAnsi="FrankRuehl"/>
          <w:color w:val="0000FF"/>
          <w:sz w:val="28"/>
          <w:u w:val="single"/>
          <w:rtl/>
        </w:rPr>
      </w:pPr>
      <w:bookmarkStart w:id="12" w:name="_GoBack"/>
      <w:bookmarkEnd w:id="12"/>
    </w:p>
    <w:sectPr w:rsidSect="006B2782">
      <w:headerReference w:type="even" r:id="rId18"/>
      <w:headerReference w:type="default" r:id="rId19"/>
      <w:footerReference w:type="even" r:id="rId20"/>
      <w:footerReference w:type="default" r:id="rId21"/>
      <w:footerReference w:type="first" r:id="rId22"/>
      <w:pgSz w:w="11907" w:h="16840" w:code="9"/>
      <w:pgMar w:top="1701" w:right="1800" w:bottom="1440" w:left="1800" w:header="720" w:footer="510" w:gutter="0"/>
      <w:pgNumType w:start="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altName w:val="Arial"/>
    <w:charset w:val="00"/>
    <w:family w:val="swiss"/>
    <w:pitch w:val="variable"/>
    <w:sig w:usb0="00001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altName w:val="Arial"/>
    <w:charset w:val="00"/>
    <w:family w:val="swiss"/>
    <w:pitch w:val="variable"/>
    <w:sig w:usb0="E0002AFF" w:usb1="C0007843" w:usb2="00000009" w:usb3="00000000" w:csb0="000001FF" w:csb1="00000000"/>
  </w:font>
  <w:font w:name="FrankRuehl">
    <w:altName w:val="Arial"/>
    <w:charset w:val="00"/>
    <w:family w:val="swiss"/>
    <w:pitch w:val="variable"/>
    <w:sig w:usb0="00001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altName w:val="Arial"/>
    <w:charset w:val="00"/>
    <w:family w:val="swiss"/>
    <w:pitch w:val="variable"/>
    <w:sig w:usb0="00001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782" w:rsidP="006B2782">
    <w:pPr>
      <w:pStyle w:val="Footer"/>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8</w:t>
    </w:r>
    <w:r>
      <w:rPr>
        <w:rFonts w:ascii="FrankRuehl" w:hAnsi="FrankRuehl" w:cs="FrankRuehl"/>
        <w:rtl/>
      </w:rPr>
      <w:fldChar w:fldCharType="end"/>
    </w:r>
  </w:p>
  <w:p w:rsidR="006B2782" w:rsidRPr="006B2782" w:rsidP="006B2782">
    <w:pPr>
      <w:pStyle w:val="Footer"/>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extent cx="552450" cy="228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782" w:rsidP="006B2782">
    <w:pPr>
      <w:pStyle w:val="Footer"/>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123C43">
      <w:rPr>
        <w:rFonts w:ascii="FrankRuehl" w:hAnsi="FrankRuehl" w:cs="FrankRuehl"/>
        <w:noProof/>
        <w:rtl/>
      </w:rPr>
      <w:t>3</w:t>
    </w:r>
    <w:r>
      <w:rPr>
        <w:rFonts w:ascii="FrankRuehl" w:hAnsi="FrankRuehl" w:cs="FrankRuehl"/>
        <w:rtl/>
      </w:rPr>
      <w:fldChar w:fldCharType="end"/>
    </w:r>
  </w:p>
  <w:p w:rsidR="006B2782" w:rsidRPr="006B2782" w:rsidP="006B2782">
    <w:pPr>
      <w:pStyle w:val="Footer"/>
      <w:pBdr>
        <w:top w:val="single" w:sz="4" w:space="1" w:color="auto"/>
        <w:between w:val="single" w:sz="4" w:space="0" w:color="auto"/>
      </w:pBdr>
      <w:spacing w:after="60"/>
      <w:jc w:val="center"/>
      <w:rPr>
        <w:rFonts w:ascii="FrankRuehl" w:hAnsi="FrankRuehl" w:cs="FrankRueh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7E2" w:rsidP="001D27E2">
    <w:pPr>
      <w:pStyle w:val="Footer"/>
      <w:rPr>
        <w:rtl/>
        <w:cs/>
      </w:rPr>
    </w:pPr>
  </w:p>
  <w:p w:rsidR="001D27E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782" w:rsidRPr="006B2782" w:rsidP="006B2782">
    <w:pPr>
      <w:pStyle w:val="Header"/>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רעא 24970-11-24</w:t>
    </w:r>
    <w:r>
      <w:rPr>
        <w:rFonts w:ascii="David" w:hAnsi="David"/>
        <w:color w:val="000000"/>
        <w:sz w:val="22"/>
        <w:szCs w:val="22"/>
        <w:rtl/>
      </w:rPr>
      <w:tab/>
      <w:t xml:space="preserve"> אשר ליסטר נ' שבתאי רפאל בע"מ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5E0F" w:rsidRPr="006B2782" w:rsidP="006B2782">
    <w:pPr>
      <w:pStyle w:val="Header"/>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3" w:name="_Hlk207880752"/>
    <w:bookmarkStart w:id="14" w:name="_Hlk207880753"/>
    <w:r>
      <w:rPr>
        <w:rFonts w:ascii="David" w:hAnsi="David"/>
        <w:color w:val="000000"/>
        <w:sz w:val="22"/>
        <w:szCs w:val="22"/>
        <w:rtl/>
      </w:rPr>
      <w:t>רעא 24970-11-24</w:t>
    </w:r>
    <w:r>
      <w:rPr>
        <w:rFonts w:ascii="David" w:hAnsi="David"/>
        <w:color w:val="000000"/>
        <w:sz w:val="22"/>
        <w:szCs w:val="22"/>
        <w:rtl/>
      </w:rPr>
      <w:tab/>
      <w:t xml:space="preserve"> אשר ליסטר נ' שבתאי רפאל בע"מ</w: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C1250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020C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45E6E2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2CAA1B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D2702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6CA2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FD0351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360D3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8263D1E"/>
    <w:lvl w:ilvl="0">
      <w:start w:val="1"/>
      <w:numFmt w:val="decimal"/>
      <w:pStyle w:val="ListNumber"/>
      <w:lvlText w:val="%1."/>
      <w:lvlJc w:val="left"/>
      <w:pPr>
        <w:tabs>
          <w:tab w:val="num" w:pos="360"/>
        </w:tabs>
        <w:ind w:left="360" w:hanging="360"/>
      </w:pPr>
    </w:lvl>
  </w:abstractNum>
  <w:abstractNum w:abstractNumId="9">
    <w:nsid w:val="FFFFFF89"/>
    <w:multiLevelType w:val="singleLevel"/>
    <w:tmpl w:val="E7A441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6001B"/>
    <w:multiLevelType w:val="hybridMultilevel"/>
    <w:tmpl w:val="9D542D0A"/>
    <w:lvl w:ilvl="0">
      <w:start w:val="1"/>
      <w:numFmt w:val="decimal"/>
      <w:pStyle w:val="Ruller40"/>
      <w:lvlText w:val="%1."/>
      <w:lvlJc w:val="left"/>
      <w:pPr>
        <w:tabs>
          <w:tab w:val="num" w:pos="907"/>
        </w:tabs>
        <w:ind w:left="0" w:firstLine="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56"/>
    <w:rsid w:val="00000062"/>
    <w:rsid w:val="0000226B"/>
    <w:rsid w:val="00005C8B"/>
    <w:rsid w:val="00007DE0"/>
    <w:rsid w:val="000346CC"/>
    <w:rsid w:val="000529D2"/>
    <w:rsid w:val="000564AB"/>
    <w:rsid w:val="00062656"/>
    <w:rsid w:val="00064FBD"/>
    <w:rsid w:val="00082AB2"/>
    <w:rsid w:val="000906FE"/>
    <w:rsid w:val="00096AF7"/>
    <w:rsid w:val="000B344B"/>
    <w:rsid w:val="000C3411"/>
    <w:rsid w:val="000C3B0F"/>
    <w:rsid w:val="000C3B60"/>
    <w:rsid w:val="000E0DD2"/>
    <w:rsid w:val="000E12EA"/>
    <w:rsid w:val="000E3AF1"/>
    <w:rsid w:val="000F0BC8"/>
    <w:rsid w:val="000F0DD6"/>
    <w:rsid w:val="000F0FF1"/>
    <w:rsid w:val="00103959"/>
    <w:rsid w:val="00103DDE"/>
    <w:rsid w:val="00105E0F"/>
    <w:rsid w:val="00107E6D"/>
    <w:rsid w:val="0011194C"/>
    <w:rsid w:val="0011424C"/>
    <w:rsid w:val="001173C6"/>
    <w:rsid w:val="00123C43"/>
    <w:rsid w:val="0013540A"/>
    <w:rsid w:val="001354CD"/>
    <w:rsid w:val="001367BC"/>
    <w:rsid w:val="00144D2A"/>
    <w:rsid w:val="00145D50"/>
    <w:rsid w:val="0014653E"/>
    <w:rsid w:val="00146EF0"/>
    <w:rsid w:val="00157BE1"/>
    <w:rsid w:val="001665FD"/>
    <w:rsid w:val="00180519"/>
    <w:rsid w:val="00191C82"/>
    <w:rsid w:val="001B740F"/>
    <w:rsid w:val="001C264F"/>
    <w:rsid w:val="001C4003"/>
    <w:rsid w:val="001D27E2"/>
    <w:rsid w:val="001D4DBF"/>
    <w:rsid w:val="001E75CA"/>
    <w:rsid w:val="001F4726"/>
    <w:rsid w:val="0022135A"/>
    <w:rsid w:val="002265FF"/>
    <w:rsid w:val="00235B97"/>
    <w:rsid w:val="00270C62"/>
    <w:rsid w:val="00271B56"/>
    <w:rsid w:val="002A1B48"/>
    <w:rsid w:val="002C344E"/>
    <w:rsid w:val="002E75E9"/>
    <w:rsid w:val="002F0B1E"/>
    <w:rsid w:val="00307A6A"/>
    <w:rsid w:val="00307C40"/>
    <w:rsid w:val="00320433"/>
    <w:rsid w:val="003230C7"/>
    <w:rsid w:val="00327E50"/>
    <w:rsid w:val="0033597A"/>
    <w:rsid w:val="00343D89"/>
    <w:rsid w:val="00362612"/>
    <w:rsid w:val="00365A00"/>
    <w:rsid w:val="0036743F"/>
    <w:rsid w:val="00367B06"/>
    <w:rsid w:val="003715DD"/>
    <w:rsid w:val="003823E0"/>
    <w:rsid w:val="00394597"/>
    <w:rsid w:val="003A4521"/>
    <w:rsid w:val="003B3E8D"/>
    <w:rsid w:val="003D1C8C"/>
    <w:rsid w:val="0040096C"/>
    <w:rsid w:val="00414F1F"/>
    <w:rsid w:val="0043125D"/>
    <w:rsid w:val="0043502B"/>
    <w:rsid w:val="004443AC"/>
    <w:rsid w:val="0044472E"/>
    <w:rsid w:val="00444748"/>
    <w:rsid w:val="00444B02"/>
    <w:rsid w:val="00451E28"/>
    <w:rsid w:val="00453DAB"/>
    <w:rsid w:val="00462C62"/>
    <w:rsid w:val="00465D36"/>
    <w:rsid w:val="004B1979"/>
    <w:rsid w:val="004C17EE"/>
    <w:rsid w:val="004C4BDF"/>
    <w:rsid w:val="004D1187"/>
    <w:rsid w:val="004D3AA0"/>
    <w:rsid w:val="004E1987"/>
    <w:rsid w:val="004E2E15"/>
    <w:rsid w:val="004E6E3C"/>
    <w:rsid w:val="00511B90"/>
    <w:rsid w:val="00520898"/>
    <w:rsid w:val="005208FC"/>
    <w:rsid w:val="00523621"/>
    <w:rsid w:val="00524986"/>
    <w:rsid w:val="005268F6"/>
    <w:rsid w:val="00530A6E"/>
    <w:rsid w:val="0053128A"/>
    <w:rsid w:val="00534284"/>
    <w:rsid w:val="00547DB7"/>
    <w:rsid w:val="005572B1"/>
    <w:rsid w:val="005C0627"/>
    <w:rsid w:val="005F4F09"/>
    <w:rsid w:val="005F7A0B"/>
    <w:rsid w:val="00610E4A"/>
    <w:rsid w:val="0061431B"/>
    <w:rsid w:val="00622BAA"/>
    <w:rsid w:val="006306CF"/>
    <w:rsid w:val="006318D8"/>
    <w:rsid w:val="00644E9A"/>
    <w:rsid w:val="0065117E"/>
    <w:rsid w:val="00665DC6"/>
    <w:rsid w:val="00671BD5"/>
    <w:rsid w:val="006805C1"/>
    <w:rsid w:val="00686C21"/>
    <w:rsid w:val="006931C1"/>
    <w:rsid w:val="00694556"/>
    <w:rsid w:val="006A4F73"/>
    <w:rsid w:val="006A6DD5"/>
    <w:rsid w:val="006B2782"/>
    <w:rsid w:val="006B7258"/>
    <w:rsid w:val="006C30C5"/>
    <w:rsid w:val="006D3B31"/>
    <w:rsid w:val="006E0D96"/>
    <w:rsid w:val="006E1A53"/>
    <w:rsid w:val="006F56E6"/>
    <w:rsid w:val="00700B37"/>
    <w:rsid w:val="00704629"/>
    <w:rsid w:val="00704EDA"/>
    <w:rsid w:val="00721122"/>
    <w:rsid w:val="007263C9"/>
    <w:rsid w:val="00734689"/>
    <w:rsid w:val="00753019"/>
    <w:rsid w:val="00754801"/>
    <w:rsid w:val="0076131E"/>
    <w:rsid w:val="00761441"/>
    <w:rsid w:val="00795365"/>
    <w:rsid w:val="007A351D"/>
    <w:rsid w:val="007B7765"/>
    <w:rsid w:val="007C5BDD"/>
    <w:rsid w:val="007C7E7F"/>
    <w:rsid w:val="007D45E3"/>
    <w:rsid w:val="007E6115"/>
    <w:rsid w:val="007F4609"/>
    <w:rsid w:val="00814468"/>
    <w:rsid w:val="008176A1"/>
    <w:rsid w:val="00820005"/>
    <w:rsid w:val="00841158"/>
    <w:rsid w:val="00844318"/>
    <w:rsid w:val="00851257"/>
    <w:rsid w:val="00863F5D"/>
    <w:rsid w:val="00870890"/>
    <w:rsid w:val="00873602"/>
    <w:rsid w:val="00875D12"/>
    <w:rsid w:val="0088479D"/>
    <w:rsid w:val="008911B7"/>
    <w:rsid w:val="00891F42"/>
    <w:rsid w:val="00896889"/>
    <w:rsid w:val="008A4FE9"/>
    <w:rsid w:val="008A59EE"/>
    <w:rsid w:val="008A6E97"/>
    <w:rsid w:val="008C5714"/>
    <w:rsid w:val="008D10B2"/>
    <w:rsid w:val="00903896"/>
    <w:rsid w:val="009057D5"/>
    <w:rsid w:val="00906F3D"/>
    <w:rsid w:val="0094424E"/>
    <w:rsid w:val="00952198"/>
    <w:rsid w:val="00955642"/>
    <w:rsid w:val="009565E8"/>
    <w:rsid w:val="009622DF"/>
    <w:rsid w:val="0096493F"/>
    <w:rsid w:val="00967DFF"/>
    <w:rsid w:val="00993C9D"/>
    <w:rsid w:val="00994341"/>
    <w:rsid w:val="009D1A48"/>
    <w:rsid w:val="009D317C"/>
    <w:rsid w:val="009D7C7A"/>
    <w:rsid w:val="009E1CE7"/>
    <w:rsid w:val="009E4EA5"/>
    <w:rsid w:val="009F164B"/>
    <w:rsid w:val="009F323C"/>
    <w:rsid w:val="00A3392B"/>
    <w:rsid w:val="00A35184"/>
    <w:rsid w:val="00A447A9"/>
    <w:rsid w:val="00A676A8"/>
    <w:rsid w:val="00A81988"/>
    <w:rsid w:val="00A85E34"/>
    <w:rsid w:val="00A87DF6"/>
    <w:rsid w:val="00A9144F"/>
    <w:rsid w:val="00A94B64"/>
    <w:rsid w:val="00AA3229"/>
    <w:rsid w:val="00AA690A"/>
    <w:rsid w:val="00AA7596"/>
    <w:rsid w:val="00AB5E52"/>
    <w:rsid w:val="00AC3B02"/>
    <w:rsid w:val="00AC3B7B"/>
    <w:rsid w:val="00AC4B58"/>
    <w:rsid w:val="00AC5209"/>
    <w:rsid w:val="00AD3F90"/>
    <w:rsid w:val="00AE0E34"/>
    <w:rsid w:val="00AE729E"/>
    <w:rsid w:val="00AE7752"/>
    <w:rsid w:val="00AF7FDA"/>
    <w:rsid w:val="00B5356E"/>
    <w:rsid w:val="00B608A2"/>
    <w:rsid w:val="00B62AD7"/>
    <w:rsid w:val="00B66717"/>
    <w:rsid w:val="00B70DD1"/>
    <w:rsid w:val="00B77019"/>
    <w:rsid w:val="00B809AD"/>
    <w:rsid w:val="00B80CBD"/>
    <w:rsid w:val="00B8115E"/>
    <w:rsid w:val="00B86096"/>
    <w:rsid w:val="00B95D6E"/>
    <w:rsid w:val="00B964D9"/>
    <w:rsid w:val="00B97644"/>
    <w:rsid w:val="00BA0A7C"/>
    <w:rsid w:val="00BA20CF"/>
    <w:rsid w:val="00BA517C"/>
    <w:rsid w:val="00BB3D05"/>
    <w:rsid w:val="00BB73BE"/>
    <w:rsid w:val="00BC2D89"/>
    <w:rsid w:val="00BD6531"/>
    <w:rsid w:val="00BE05B2"/>
    <w:rsid w:val="00BF1908"/>
    <w:rsid w:val="00C22D93"/>
    <w:rsid w:val="00C23458"/>
    <w:rsid w:val="00C31120"/>
    <w:rsid w:val="00C34482"/>
    <w:rsid w:val="00C43648"/>
    <w:rsid w:val="00C50A9F"/>
    <w:rsid w:val="00C5786B"/>
    <w:rsid w:val="00C641C7"/>
    <w:rsid w:val="00C642FA"/>
    <w:rsid w:val="00C9217F"/>
    <w:rsid w:val="00CC7622"/>
    <w:rsid w:val="00CD516B"/>
    <w:rsid w:val="00CD608F"/>
    <w:rsid w:val="00CE0084"/>
    <w:rsid w:val="00CF403E"/>
    <w:rsid w:val="00CF4A10"/>
    <w:rsid w:val="00CF6BB7"/>
    <w:rsid w:val="00D04AA4"/>
    <w:rsid w:val="00D27982"/>
    <w:rsid w:val="00D33B86"/>
    <w:rsid w:val="00D44968"/>
    <w:rsid w:val="00D51B93"/>
    <w:rsid w:val="00D53924"/>
    <w:rsid w:val="00D55D0C"/>
    <w:rsid w:val="00D96D8C"/>
    <w:rsid w:val="00DA6649"/>
    <w:rsid w:val="00DC1259"/>
    <w:rsid w:val="00DC1BD2"/>
    <w:rsid w:val="00DC2571"/>
    <w:rsid w:val="00DC487C"/>
    <w:rsid w:val="00DD4335"/>
    <w:rsid w:val="00DE1B18"/>
    <w:rsid w:val="00DE1E7D"/>
    <w:rsid w:val="00DE2CB7"/>
    <w:rsid w:val="00DE6BF6"/>
    <w:rsid w:val="00E00D06"/>
    <w:rsid w:val="00E1068A"/>
    <w:rsid w:val="00E25884"/>
    <w:rsid w:val="00E25B55"/>
    <w:rsid w:val="00E31C2B"/>
    <w:rsid w:val="00E5426A"/>
    <w:rsid w:val="00E54642"/>
    <w:rsid w:val="00E56250"/>
    <w:rsid w:val="00E80CBE"/>
    <w:rsid w:val="00E9269D"/>
    <w:rsid w:val="00E962E3"/>
    <w:rsid w:val="00EB6C79"/>
    <w:rsid w:val="00EC37E9"/>
    <w:rsid w:val="00ED6586"/>
    <w:rsid w:val="00F038D8"/>
    <w:rsid w:val="00F06995"/>
    <w:rsid w:val="00F07B5C"/>
    <w:rsid w:val="00F07C70"/>
    <w:rsid w:val="00F12D66"/>
    <w:rsid w:val="00F13623"/>
    <w:rsid w:val="00F1412F"/>
    <w:rsid w:val="00F14E68"/>
    <w:rsid w:val="00F44D1D"/>
    <w:rsid w:val="00F52033"/>
    <w:rsid w:val="00F84B6D"/>
    <w:rsid w:val="00F856E6"/>
    <w:rsid w:val="00F8653E"/>
    <w:rsid w:val="00F92B56"/>
    <w:rsid w:val="00F957E8"/>
    <w:rsid w:val="00FA311A"/>
    <w:rsid w:val="00FA5FDA"/>
    <w:rsid w:val="00FA7FD0"/>
    <w:rsid w:val="00FB6AB3"/>
    <w:rsid w:val="00FD1419"/>
    <w:rsid w:val="00FD79E4"/>
    <w:rsid w:val="00FE09EC"/>
    <w:rsid w:val="00FE2894"/>
    <w:rsid w:val="00FF6C6D"/>
  </w:rsids>
  <w:docVars>
    <w:docVar w:name="MyInfo" w:val="This document was extracted from Nevo's sit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B6F5614"/>
  <w15:docId w15:val="{3FFAC1A4-87FF-48F7-A9C8-297C1964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4423"/>
    <w:pPr>
      <w:bidi/>
    </w:pPr>
    <w:rPr>
      <w:rFonts w:cs="David"/>
      <w:sz w:val="24"/>
      <w:szCs w:val="24"/>
      <w:lang w:bidi="he-IL"/>
    </w:rPr>
  </w:style>
  <w:style w:type="paragraph" w:styleId="Heading1">
    <w:name w:val="heading 1"/>
    <w:basedOn w:val="Normal"/>
    <w:next w:val="Normal"/>
    <w:link w:val="19"/>
    <w:qFormat/>
    <w:rsid w:val="00665DC6"/>
    <w:pPr>
      <w:keepNext/>
      <w:keepLines/>
      <w:spacing w:before="240"/>
      <w:outlineLvl w:val="0"/>
    </w:pPr>
    <w:rPr>
      <w:rFonts w:ascii="Cambria" w:hAnsi="Cambria" w:cs="Times New Roman"/>
      <w:color w:val="365F91"/>
      <w:sz w:val="32"/>
      <w:szCs w:val="32"/>
    </w:rPr>
  </w:style>
  <w:style w:type="paragraph" w:styleId="Heading2">
    <w:name w:val="heading 2"/>
    <w:basedOn w:val="Normal"/>
    <w:next w:val="Normal"/>
    <w:link w:val="20"/>
    <w:qFormat/>
    <w:rsid w:val="00665DC6"/>
    <w:pPr>
      <w:keepNext/>
      <w:keepLines/>
      <w:spacing w:before="40"/>
      <w:outlineLvl w:val="1"/>
    </w:pPr>
    <w:rPr>
      <w:rFonts w:ascii="Cambria" w:hAnsi="Cambria" w:cs="Times New Roman"/>
      <w:color w:val="365F91"/>
      <w:sz w:val="26"/>
      <w:szCs w:val="26"/>
    </w:rPr>
  </w:style>
  <w:style w:type="paragraph" w:styleId="Heading3">
    <w:name w:val="heading 3"/>
    <w:basedOn w:val="Normal"/>
    <w:next w:val="Normal"/>
    <w:link w:val="3"/>
    <w:qFormat/>
    <w:rsid w:val="00665DC6"/>
    <w:pPr>
      <w:keepNext/>
      <w:spacing w:line="360" w:lineRule="auto"/>
      <w:jc w:val="both"/>
      <w:outlineLvl w:val="2"/>
    </w:pPr>
    <w:rPr>
      <w:b/>
      <w:bCs/>
      <w:sz w:val="20"/>
      <w:lang w:eastAsia="he-IL"/>
    </w:rPr>
  </w:style>
  <w:style w:type="paragraph" w:styleId="Heading4">
    <w:name w:val="heading 4"/>
    <w:basedOn w:val="Normal"/>
    <w:next w:val="Normal"/>
    <w:qFormat/>
    <w:rsid w:val="00C64423"/>
    <w:pPr>
      <w:keepNext/>
      <w:ind w:left="5760" w:firstLine="720"/>
      <w:outlineLvl w:val="3"/>
    </w:pPr>
    <w:rPr>
      <w:rFonts w:cs="Narkisim"/>
      <w:b/>
      <w:bCs/>
    </w:rPr>
  </w:style>
  <w:style w:type="paragraph" w:styleId="Heading5">
    <w:name w:val="heading 5"/>
    <w:basedOn w:val="Normal"/>
    <w:next w:val="Normal"/>
    <w:link w:val="5"/>
    <w:qFormat/>
    <w:rsid w:val="00665DC6"/>
    <w:pPr>
      <w:keepNext/>
      <w:keepLines/>
      <w:spacing w:before="40"/>
      <w:outlineLvl w:val="4"/>
    </w:pPr>
    <w:rPr>
      <w:rFonts w:ascii="Cambria" w:hAnsi="Cambria" w:cs="Times New Roman"/>
      <w:color w:val="365F91"/>
    </w:rPr>
  </w:style>
  <w:style w:type="paragraph" w:styleId="Heading6">
    <w:name w:val="heading 6"/>
    <w:basedOn w:val="Normal"/>
    <w:next w:val="Normal"/>
    <w:link w:val="6"/>
    <w:qFormat/>
    <w:rsid w:val="00665DC6"/>
    <w:pPr>
      <w:keepNext/>
      <w:keepLines/>
      <w:spacing w:before="40"/>
      <w:outlineLvl w:val="5"/>
    </w:pPr>
    <w:rPr>
      <w:rFonts w:ascii="Cambria" w:hAnsi="Cambria" w:cs="Times New Roman"/>
      <w:color w:val="243F60"/>
    </w:rPr>
  </w:style>
  <w:style w:type="paragraph" w:styleId="Heading7">
    <w:name w:val="heading 7"/>
    <w:basedOn w:val="Normal"/>
    <w:next w:val="Normal"/>
    <w:link w:val="7"/>
    <w:qFormat/>
    <w:rsid w:val="00665DC6"/>
    <w:pPr>
      <w:keepNext/>
      <w:keepLines/>
      <w:spacing w:before="40"/>
      <w:outlineLvl w:val="6"/>
    </w:pPr>
    <w:rPr>
      <w:rFonts w:ascii="Cambria" w:hAnsi="Cambria" w:cs="Times New Roman"/>
      <w:i/>
      <w:iCs/>
      <w:color w:val="243F60"/>
    </w:rPr>
  </w:style>
  <w:style w:type="paragraph" w:styleId="Heading8">
    <w:name w:val="heading 8"/>
    <w:basedOn w:val="Normal"/>
    <w:next w:val="Normal"/>
    <w:link w:val="8"/>
    <w:qFormat/>
    <w:rsid w:val="00665DC6"/>
    <w:pPr>
      <w:keepNext/>
      <w:keepLines/>
      <w:spacing w:before="40"/>
      <w:outlineLvl w:val="7"/>
    </w:pPr>
    <w:rPr>
      <w:rFonts w:ascii="Cambria" w:hAnsi="Cambria" w:cs="Times New Roman"/>
      <w:color w:val="272727"/>
      <w:sz w:val="21"/>
      <w:szCs w:val="21"/>
    </w:rPr>
  </w:style>
  <w:style w:type="paragraph" w:styleId="Heading9">
    <w:name w:val="heading 9"/>
    <w:basedOn w:val="Normal"/>
    <w:next w:val="Normal"/>
    <w:link w:val="9"/>
    <w:qFormat/>
    <w:rsid w:val="00665DC6"/>
    <w:pPr>
      <w:keepNext/>
      <w:keepLines/>
      <w:spacing w:before="40"/>
      <w:outlineLvl w:val="8"/>
    </w:pPr>
    <w:rPr>
      <w:rFonts w:ascii="Cambria"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0"/>
    <w:uiPriority w:val="99"/>
    <w:rsid w:val="00C64423"/>
    <w:pPr>
      <w:tabs>
        <w:tab w:val="center" w:pos="4153"/>
        <w:tab w:val="right" w:pos="8306"/>
      </w:tabs>
    </w:pPr>
  </w:style>
  <w:style w:type="paragraph" w:styleId="Footer">
    <w:name w:val="footer"/>
    <w:basedOn w:val="Normal"/>
    <w:link w:val="a1"/>
    <w:uiPriority w:val="99"/>
    <w:rsid w:val="00C64423"/>
    <w:pPr>
      <w:tabs>
        <w:tab w:val="center" w:pos="4153"/>
        <w:tab w:val="right" w:pos="8306"/>
      </w:tabs>
    </w:pPr>
  </w:style>
  <w:style w:type="paragraph" w:customStyle="1" w:styleId="a">
    <w:name w:val="סעיפים"/>
    <w:basedOn w:val="Normal"/>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CommentText">
    <w:name w:val="annotation text"/>
    <w:basedOn w:val="Normal"/>
    <w:link w:val="a17"/>
    <w:rsid w:val="00C64423"/>
    <w:rPr>
      <w:rFonts w:cs="Times New Roman"/>
    </w:rPr>
  </w:style>
  <w:style w:type="character" w:styleId="CommentReference">
    <w:name w:val="annotation reference"/>
    <w:rsid w:val="00C64423"/>
    <w:rPr>
      <w:noProof w:val="0"/>
      <w:sz w:val="16"/>
      <w:szCs w:val="16"/>
    </w:rPr>
  </w:style>
  <w:style w:type="paragraph" w:styleId="BalloonText">
    <w:name w:val="Balloon Text"/>
    <w:basedOn w:val="Normal"/>
    <w:rsid w:val="00C64423"/>
    <w:rPr>
      <w:rFonts w:ascii="Tahoma" w:hAnsi="Tahoma" w:cs="Tahoma"/>
      <w:sz w:val="16"/>
      <w:szCs w:val="16"/>
    </w:rPr>
  </w:style>
  <w:style w:type="table" w:styleId="TableGrid">
    <w:name w:val="Table Grid"/>
    <w:basedOn w:val="TableNormal"/>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C64423"/>
    <w:rPr>
      <w:noProof w:val="0"/>
    </w:rPr>
  </w:style>
  <w:style w:type="character" w:styleId="PageNumber">
    <w:name w:val="page number"/>
    <w:rsid w:val="00C64423"/>
    <w:rPr>
      <w:noProof w:val="0"/>
    </w:rPr>
  </w:style>
  <w:style w:type="table" w:customStyle="1" w:styleId="1">
    <w:name w:val="טבלת רשת1"/>
    <w:basedOn w:val="TableNormal"/>
    <w:next w:val="TableGrid"/>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טקסט מציין מיקום1"/>
    <w:uiPriority w:val="99"/>
    <w:semiHidden/>
    <w:rsid w:val="003230C7"/>
    <w:rPr>
      <w:noProof w:val="0"/>
      <w:color w:val="808080"/>
    </w:rPr>
  </w:style>
  <w:style w:type="character" w:customStyle="1" w:styleId="a0">
    <w:name w:val="כותרת עליונה תו"/>
    <w:link w:val="Header"/>
    <w:uiPriority w:val="99"/>
    <w:rsid w:val="001D27E2"/>
    <w:rPr>
      <w:rFonts w:cs="David"/>
      <w:noProof w:val="0"/>
      <w:sz w:val="24"/>
      <w:szCs w:val="24"/>
    </w:rPr>
  </w:style>
  <w:style w:type="character" w:customStyle="1" w:styleId="a1">
    <w:name w:val="כותרת תחתונה תו"/>
    <w:link w:val="Footer"/>
    <w:uiPriority w:val="99"/>
    <w:rsid w:val="001D27E2"/>
    <w:rPr>
      <w:rFonts w:cs="David"/>
      <w:noProof w:val="0"/>
      <w:sz w:val="24"/>
      <w:szCs w:val="24"/>
    </w:rPr>
  </w:style>
  <w:style w:type="character" w:customStyle="1" w:styleId="3">
    <w:name w:val="כותרת 3 תו"/>
    <w:link w:val="Heading3"/>
    <w:rsid w:val="00665DC6"/>
    <w:rPr>
      <w:rFonts w:cs="David"/>
      <w:b/>
      <w:bCs/>
      <w:noProof w:val="0"/>
      <w:szCs w:val="24"/>
      <w:lang w:eastAsia="he-IL"/>
    </w:rPr>
  </w:style>
  <w:style w:type="character" w:styleId="FollowedHyperlink">
    <w:name w:val="FollowedHyperlink"/>
    <w:rsid w:val="00665DC6"/>
    <w:rPr>
      <w:noProof w:val="0"/>
      <w:color w:val="800080"/>
      <w:u w:val="single"/>
    </w:rPr>
  </w:style>
  <w:style w:type="character" w:styleId="HTMLCite">
    <w:name w:val="HTML Cite"/>
    <w:rsid w:val="00665DC6"/>
    <w:rPr>
      <w:i/>
      <w:iCs/>
      <w:noProof w:val="0"/>
    </w:rPr>
  </w:style>
  <w:style w:type="character" w:styleId="HTMLCode">
    <w:name w:val="HTML Code"/>
    <w:rsid w:val="00665DC6"/>
    <w:rPr>
      <w:rFonts w:ascii="Consolas" w:hAnsi="Consolas"/>
      <w:noProof w:val="0"/>
      <w:sz w:val="20"/>
      <w:szCs w:val="20"/>
    </w:rPr>
  </w:style>
  <w:style w:type="character" w:styleId="HTMLDefinition">
    <w:name w:val="HTML Definition"/>
    <w:rsid w:val="00665DC6"/>
    <w:rPr>
      <w:i/>
      <w:iCs/>
      <w:noProof w:val="0"/>
    </w:rPr>
  </w:style>
  <w:style w:type="character" w:styleId="HTMLVariable">
    <w:name w:val="HTML Variable"/>
    <w:rsid w:val="00665DC6"/>
    <w:rPr>
      <w:i/>
      <w:iCs/>
      <w:noProof w:val="0"/>
    </w:rPr>
  </w:style>
  <w:style w:type="paragraph" w:styleId="HTMLPreformatted">
    <w:name w:val="HTML Preformatted"/>
    <w:basedOn w:val="Normal"/>
    <w:link w:val="HTML"/>
    <w:rsid w:val="00665DC6"/>
    <w:rPr>
      <w:rFonts w:ascii="Consolas" w:hAnsi="Consolas"/>
      <w:sz w:val="20"/>
      <w:szCs w:val="20"/>
    </w:rPr>
  </w:style>
  <w:style w:type="character" w:customStyle="1" w:styleId="HTML">
    <w:name w:val="HTML מעוצב מראש תו"/>
    <w:link w:val="HTMLPreformatted"/>
    <w:semiHidden/>
    <w:rsid w:val="00665DC6"/>
    <w:rPr>
      <w:rFonts w:ascii="Consolas" w:hAnsi="Consolas" w:cs="David"/>
      <w:noProof w:val="0"/>
    </w:rPr>
  </w:style>
  <w:style w:type="character" w:styleId="Hyperlink">
    <w:name w:val="Hyperlink"/>
    <w:rsid w:val="00665DC6"/>
    <w:rPr>
      <w:noProof w:val="0"/>
      <w:color w:val="0000FF"/>
      <w:u w:val="single"/>
    </w:rPr>
  </w:style>
  <w:style w:type="paragraph" w:styleId="Index1">
    <w:name w:val="index 1"/>
    <w:basedOn w:val="Normal"/>
    <w:next w:val="Normal"/>
    <w:autoRedefine/>
    <w:rsid w:val="00665DC6"/>
    <w:pPr>
      <w:ind w:left="240" w:hanging="240"/>
    </w:pPr>
  </w:style>
  <w:style w:type="paragraph" w:styleId="Index2">
    <w:name w:val="index 2"/>
    <w:basedOn w:val="Normal"/>
    <w:next w:val="Normal"/>
    <w:autoRedefine/>
    <w:rsid w:val="00665DC6"/>
    <w:pPr>
      <w:ind w:left="480" w:hanging="240"/>
    </w:pPr>
  </w:style>
  <w:style w:type="paragraph" w:styleId="Index3">
    <w:name w:val="index 3"/>
    <w:basedOn w:val="Normal"/>
    <w:next w:val="Normal"/>
    <w:autoRedefine/>
    <w:rsid w:val="00665DC6"/>
    <w:pPr>
      <w:ind w:left="720" w:hanging="240"/>
    </w:pPr>
  </w:style>
  <w:style w:type="paragraph" w:styleId="Index4">
    <w:name w:val="index 4"/>
    <w:basedOn w:val="Normal"/>
    <w:next w:val="Normal"/>
    <w:autoRedefine/>
    <w:rsid w:val="00665DC6"/>
    <w:pPr>
      <w:ind w:left="960" w:hanging="240"/>
    </w:pPr>
  </w:style>
  <w:style w:type="paragraph" w:styleId="Index5">
    <w:name w:val="index 5"/>
    <w:basedOn w:val="Normal"/>
    <w:next w:val="Normal"/>
    <w:autoRedefine/>
    <w:rsid w:val="00665DC6"/>
    <w:pPr>
      <w:ind w:left="1200" w:hanging="240"/>
    </w:pPr>
  </w:style>
  <w:style w:type="paragraph" w:styleId="Index6">
    <w:name w:val="index 6"/>
    <w:basedOn w:val="Normal"/>
    <w:next w:val="Normal"/>
    <w:autoRedefine/>
    <w:rsid w:val="00665DC6"/>
    <w:pPr>
      <w:ind w:left="1440" w:hanging="240"/>
    </w:pPr>
  </w:style>
  <w:style w:type="paragraph" w:styleId="Index7">
    <w:name w:val="index 7"/>
    <w:basedOn w:val="Normal"/>
    <w:next w:val="Normal"/>
    <w:autoRedefine/>
    <w:rsid w:val="00665DC6"/>
    <w:pPr>
      <w:ind w:left="1680" w:hanging="240"/>
    </w:pPr>
  </w:style>
  <w:style w:type="paragraph" w:styleId="Index8">
    <w:name w:val="index 8"/>
    <w:basedOn w:val="Normal"/>
    <w:next w:val="Normal"/>
    <w:autoRedefine/>
    <w:rsid w:val="00665DC6"/>
    <w:pPr>
      <w:ind w:left="1920" w:hanging="240"/>
    </w:pPr>
  </w:style>
  <w:style w:type="paragraph" w:styleId="Index9">
    <w:name w:val="index 9"/>
    <w:basedOn w:val="Normal"/>
    <w:next w:val="Normal"/>
    <w:autoRedefine/>
    <w:rsid w:val="00665DC6"/>
    <w:pPr>
      <w:ind w:left="2160" w:hanging="240"/>
    </w:pPr>
  </w:style>
  <w:style w:type="paragraph" w:styleId="NormalWeb">
    <w:name w:val="Normal (Web)"/>
    <w:basedOn w:val="Normal"/>
    <w:rsid w:val="00665DC6"/>
    <w:rPr>
      <w:rFonts w:cs="Times New Roman"/>
    </w:rPr>
  </w:style>
  <w:style w:type="paragraph" w:styleId="TOC1">
    <w:name w:val="toc 1"/>
    <w:basedOn w:val="Normal"/>
    <w:next w:val="Normal"/>
    <w:autoRedefine/>
    <w:rsid w:val="00665DC6"/>
    <w:pPr>
      <w:spacing w:after="100"/>
    </w:pPr>
  </w:style>
  <w:style w:type="paragraph" w:styleId="TOC2">
    <w:name w:val="toc 2"/>
    <w:basedOn w:val="Normal"/>
    <w:next w:val="Normal"/>
    <w:autoRedefine/>
    <w:rsid w:val="00665DC6"/>
    <w:pPr>
      <w:spacing w:after="100"/>
      <w:ind w:left="240"/>
    </w:pPr>
  </w:style>
  <w:style w:type="paragraph" w:styleId="TOC3">
    <w:name w:val="toc 3"/>
    <w:basedOn w:val="Normal"/>
    <w:next w:val="Normal"/>
    <w:autoRedefine/>
    <w:rsid w:val="00665DC6"/>
    <w:pPr>
      <w:spacing w:after="100"/>
      <w:ind w:left="480"/>
    </w:pPr>
  </w:style>
  <w:style w:type="paragraph" w:styleId="TOC4">
    <w:name w:val="toc 4"/>
    <w:basedOn w:val="Normal"/>
    <w:next w:val="Normal"/>
    <w:autoRedefine/>
    <w:rsid w:val="00665DC6"/>
    <w:pPr>
      <w:spacing w:after="100"/>
      <w:ind w:left="720"/>
    </w:pPr>
  </w:style>
  <w:style w:type="paragraph" w:styleId="TOC5">
    <w:name w:val="toc 5"/>
    <w:basedOn w:val="Normal"/>
    <w:next w:val="Normal"/>
    <w:autoRedefine/>
    <w:rsid w:val="00665DC6"/>
    <w:pPr>
      <w:spacing w:after="100"/>
      <w:ind w:left="960"/>
    </w:pPr>
  </w:style>
  <w:style w:type="paragraph" w:styleId="TOC6">
    <w:name w:val="toc 6"/>
    <w:basedOn w:val="Normal"/>
    <w:next w:val="Normal"/>
    <w:autoRedefine/>
    <w:rsid w:val="00665DC6"/>
    <w:pPr>
      <w:spacing w:after="100"/>
      <w:ind w:left="1200"/>
    </w:pPr>
  </w:style>
  <w:style w:type="paragraph" w:styleId="TOC7">
    <w:name w:val="toc 7"/>
    <w:basedOn w:val="Normal"/>
    <w:next w:val="Normal"/>
    <w:autoRedefine/>
    <w:rsid w:val="00665DC6"/>
    <w:pPr>
      <w:spacing w:after="100"/>
      <w:ind w:left="1440"/>
    </w:pPr>
  </w:style>
  <w:style w:type="paragraph" w:styleId="TOC8">
    <w:name w:val="toc 8"/>
    <w:basedOn w:val="Normal"/>
    <w:next w:val="Normal"/>
    <w:autoRedefine/>
    <w:rsid w:val="00665DC6"/>
    <w:pPr>
      <w:spacing w:after="100"/>
      <w:ind w:left="1680"/>
    </w:pPr>
  </w:style>
  <w:style w:type="paragraph" w:styleId="TOC9">
    <w:name w:val="toc 9"/>
    <w:basedOn w:val="Normal"/>
    <w:next w:val="Normal"/>
    <w:autoRedefine/>
    <w:rsid w:val="00665DC6"/>
    <w:pPr>
      <w:spacing w:after="100"/>
      <w:ind w:left="1920"/>
    </w:pPr>
  </w:style>
  <w:style w:type="table" w:styleId="Table3Deffects1">
    <w:name w:val="Table 3D effects 1"/>
    <w:basedOn w:val="TableNormal"/>
    <w:rsid w:val="00665DC6"/>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5DC6"/>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5DC6"/>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ביבליוגרפיה1"/>
    <w:basedOn w:val="Normal"/>
    <w:next w:val="Normal"/>
    <w:uiPriority w:val="37"/>
    <w:semiHidden/>
    <w:unhideWhenUsed/>
    <w:rsid w:val="00665DC6"/>
  </w:style>
  <w:style w:type="paragraph" w:styleId="Salutation">
    <w:name w:val="Salutation"/>
    <w:basedOn w:val="Normal"/>
    <w:next w:val="Normal"/>
    <w:link w:val="a2"/>
    <w:rsid w:val="00665DC6"/>
  </w:style>
  <w:style w:type="character" w:customStyle="1" w:styleId="a2">
    <w:name w:val="ברכה תו"/>
    <w:link w:val="Salutation"/>
    <w:rsid w:val="00665DC6"/>
    <w:rPr>
      <w:rFonts w:cs="David"/>
      <w:noProof w:val="0"/>
      <w:sz w:val="24"/>
      <w:szCs w:val="24"/>
    </w:rPr>
  </w:style>
  <w:style w:type="paragraph" w:styleId="BodyText">
    <w:name w:val="Body Text"/>
    <w:basedOn w:val="Normal"/>
    <w:link w:val="a3"/>
    <w:rsid w:val="00665DC6"/>
    <w:pPr>
      <w:spacing w:after="120"/>
    </w:pPr>
  </w:style>
  <w:style w:type="character" w:customStyle="1" w:styleId="a3">
    <w:name w:val="גוף טקסט תו"/>
    <w:link w:val="BodyText"/>
    <w:semiHidden/>
    <w:rsid w:val="00665DC6"/>
    <w:rPr>
      <w:rFonts w:cs="David"/>
      <w:noProof w:val="0"/>
      <w:sz w:val="24"/>
      <w:szCs w:val="24"/>
    </w:rPr>
  </w:style>
  <w:style w:type="paragraph" w:styleId="BodyText2">
    <w:name w:val="Body Text 2"/>
    <w:basedOn w:val="Normal"/>
    <w:link w:val="2"/>
    <w:rsid w:val="00665DC6"/>
    <w:pPr>
      <w:spacing w:after="120" w:line="480" w:lineRule="auto"/>
    </w:pPr>
  </w:style>
  <w:style w:type="character" w:customStyle="1" w:styleId="2">
    <w:name w:val="גוף טקסט 2 תו"/>
    <w:link w:val="BodyText2"/>
    <w:semiHidden/>
    <w:rsid w:val="00665DC6"/>
    <w:rPr>
      <w:rFonts w:cs="David"/>
      <w:noProof w:val="0"/>
      <w:sz w:val="24"/>
      <w:szCs w:val="24"/>
    </w:rPr>
  </w:style>
  <w:style w:type="paragraph" w:styleId="BodyText3">
    <w:name w:val="Body Text 3"/>
    <w:basedOn w:val="Normal"/>
    <w:link w:val="30"/>
    <w:rsid w:val="00665DC6"/>
    <w:pPr>
      <w:spacing w:after="120"/>
    </w:pPr>
    <w:rPr>
      <w:sz w:val="16"/>
      <w:szCs w:val="16"/>
    </w:rPr>
  </w:style>
  <w:style w:type="character" w:customStyle="1" w:styleId="30">
    <w:name w:val="גוף טקסט 3 תו"/>
    <w:link w:val="BodyText3"/>
    <w:semiHidden/>
    <w:rsid w:val="00665DC6"/>
    <w:rPr>
      <w:rFonts w:cs="David"/>
      <w:noProof w:val="0"/>
      <w:sz w:val="16"/>
      <w:szCs w:val="16"/>
    </w:rPr>
  </w:style>
  <w:style w:type="character" w:styleId="HTMLSample">
    <w:name w:val="HTML Sample"/>
    <w:rsid w:val="00665DC6"/>
    <w:rPr>
      <w:rFonts w:ascii="Consolas" w:hAnsi="Consolas"/>
      <w:noProof w:val="0"/>
      <w:sz w:val="24"/>
      <w:szCs w:val="24"/>
    </w:rPr>
  </w:style>
  <w:style w:type="character" w:styleId="Emphasis">
    <w:name w:val="Emphasis"/>
    <w:qFormat/>
    <w:rsid w:val="00665DC6"/>
    <w:rPr>
      <w:i/>
      <w:iCs/>
      <w:noProof w:val="0"/>
    </w:rPr>
  </w:style>
  <w:style w:type="character" w:customStyle="1" w:styleId="12">
    <w:name w:val="הדגשה חזקה1"/>
    <w:uiPriority w:val="21"/>
    <w:qFormat/>
    <w:rsid w:val="00665DC6"/>
    <w:rPr>
      <w:i/>
      <w:iCs/>
      <w:noProof w:val="0"/>
      <w:color w:val="4F81BD"/>
    </w:rPr>
  </w:style>
  <w:style w:type="character" w:customStyle="1" w:styleId="13">
    <w:name w:val="הדגשה עדינה1"/>
    <w:uiPriority w:val="19"/>
    <w:qFormat/>
    <w:rsid w:val="00665DC6"/>
    <w:rPr>
      <w:i/>
      <w:iCs/>
      <w:noProof w:val="0"/>
      <w:color w:val="404040"/>
    </w:rPr>
  </w:style>
  <w:style w:type="paragraph" w:styleId="ListContinue">
    <w:name w:val="List Continue"/>
    <w:basedOn w:val="Normal"/>
    <w:rsid w:val="00665DC6"/>
    <w:pPr>
      <w:spacing w:after="120"/>
      <w:ind w:left="283"/>
      <w:contextualSpacing/>
    </w:pPr>
  </w:style>
  <w:style w:type="paragraph" w:styleId="ListContinue2">
    <w:name w:val="List Continue 2"/>
    <w:basedOn w:val="Normal"/>
    <w:rsid w:val="00665DC6"/>
    <w:pPr>
      <w:spacing w:after="120"/>
      <w:ind w:left="566"/>
      <w:contextualSpacing/>
    </w:pPr>
  </w:style>
  <w:style w:type="paragraph" w:styleId="ListContinue3">
    <w:name w:val="List Continue 3"/>
    <w:basedOn w:val="Normal"/>
    <w:rsid w:val="00665DC6"/>
    <w:pPr>
      <w:spacing w:after="120"/>
      <w:ind w:left="849"/>
      <w:contextualSpacing/>
    </w:pPr>
  </w:style>
  <w:style w:type="paragraph" w:styleId="ListContinue4">
    <w:name w:val="List Continue 4"/>
    <w:basedOn w:val="Normal"/>
    <w:rsid w:val="00665DC6"/>
    <w:pPr>
      <w:spacing w:after="120"/>
      <w:ind w:left="1132"/>
      <w:contextualSpacing/>
    </w:pPr>
  </w:style>
  <w:style w:type="paragraph" w:styleId="ListContinue5">
    <w:name w:val="List Continue 5"/>
    <w:basedOn w:val="Normal"/>
    <w:rsid w:val="00665DC6"/>
    <w:pPr>
      <w:spacing w:after="120"/>
      <w:ind w:left="1415"/>
      <w:contextualSpacing/>
    </w:pPr>
  </w:style>
  <w:style w:type="character" w:customStyle="1" w:styleId="14">
    <w:name w:val="הפניה חזקה1"/>
    <w:uiPriority w:val="32"/>
    <w:qFormat/>
    <w:rsid w:val="00665DC6"/>
    <w:rPr>
      <w:b/>
      <w:bCs/>
      <w:smallCaps/>
      <w:noProof w:val="0"/>
      <w:color w:val="4F81BD"/>
      <w:spacing w:val="5"/>
    </w:rPr>
  </w:style>
  <w:style w:type="character" w:styleId="EndnoteReference">
    <w:name w:val="endnote reference"/>
    <w:rsid w:val="00665DC6"/>
    <w:rPr>
      <w:noProof w:val="0"/>
      <w:vertAlign w:val="superscript"/>
    </w:rPr>
  </w:style>
  <w:style w:type="character" w:styleId="FootnoteReference">
    <w:name w:val="footnote reference"/>
    <w:rsid w:val="00665DC6"/>
    <w:rPr>
      <w:noProof w:val="0"/>
      <w:vertAlign w:val="superscript"/>
    </w:rPr>
  </w:style>
  <w:style w:type="character" w:customStyle="1" w:styleId="15">
    <w:name w:val="הפניה עדינה1"/>
    <w:uiPriority w:val="31"/>
    <w:qFormat/>
    <w:rsid w:val="00665DC6"/>
    <w:rPr>
      <w:smallCaps/>
      <w:noProof w:val="0"/>
      <w:color w:val="5A5A5A"/>
    </w:rPr>
  </w:style>
  <w:style w:type="table" w:customStyle="1" w:styleId="16">
    <w:name w:val="הצללה בהירה1"/>
    <w:basedOn w:val="TableNormal"/>
    <w:uiPriority w:val="60"/>
    <w:semiHidden/>
    <w:unhideWhenUsed/>
    <w:rsid w:val="00665D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TableNormal"/>
    <w:uiPriority w:val="60"/>
    <w:semiHidden/>
    <w:unhideWhenUsed/>
    <w:rsid w:val="00665D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TableNormal"/>
    <w:uiPriority w:val="60"/>
    <w:semiHidden/>
    <w:unhideWhenUsed/>
    <w:rsid w:val="00665D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TableNormal"/>
    <w:uiPriority w:val="60"/>
    <w:semiHidden/>
    <w:unhideWhenUsed/>
    <w:rsid w:val="00665D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TableNormal"/>
    <w:uiPriority w:val="60"/>
    <w:semiHidden/>
    <w:unhideWhenUsed/>
    <w:rsid w:val="00665D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TableNormal"/>
    <w:uiPriority w:val="60"/>
    <w:semiHidden/>
    <w:unhideWhenUsed/>
    <w:rsid w:val="00665D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TableNormal"/>
    <w:uiPriority w:val="60"/>
    <w:semiHidden/>
    <w:unhideWhenUsed/>
    <w:rsid w:val="00665DC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TableNormal"/>
    <w:uiPriority w:val="64"/>
    <w:semiHidden/>
    <w:unhideWhenUsed/>
    <w:rsid w:val="0066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TableNormal"/>
    <w:uiPriority w:val="63"/>
    <w:semiHidden/>
    <w:unhideWhenUsed/>
    <w:rsid w:val="00665DC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TableNormal"/>
    <w:uiPriority w:val="63"/>
    <w:semiHidden/>
    <w:unhideWhenUsed/>
    <w:rsid w:val="00665D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TableNormal"/>
    <w:uiPriority w:val="63"/>
    <w:semiHidden/>
    <w:unhideWhenUsed/>
    <w:rsid w:val="00665DC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TableNormal"/>
    <w:uiPriority w:val="63"/>
    <w:semiHidden/>
    <w:unhideWhenUsed/>
    <w:rsid w:val="00665DC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TableNormal"/>
    <w:uiPriority w:val="63"/>
    <w:semiHidden/>
    <w:unhideWhenUsed/>
    <w:rsid w:val="00665DC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TableNormal"/>
    <w:uiPriority w:val="63"/>
    <w:semiHidden/>
    <w:unhideWhenUsed/>
    <w:rsid w:val="00665DC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TableNormal"/>
    <w:uiPriority w:val="63"/>
    <w:semiHidden/>
    <w:unhideWhenUsed/>
    <w:rsid w:val="00665DC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
    <w:name w:val="הצללה בינונית 21"/>
    <w:basedOn w:val="TableNormal"/>
    <w:uiPriority w:val="64"/>
    <w:semiHidden/>
    <w:unhideWhenUsed/>
    <w:rsid w:val="0066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TableNormal"/>
    <w:uiPriority w:val="64"/>
    <w:semiHidden/>
    <w:unhideWhenUsed/>
    <w:rsid w:val="0066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TableNormal"/>
    <w:uiPriority w:val="64"/>
    <w:semiHidden/>
    <w:unhideWhenUsed/>
    <w:rsid w:val="0066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TableNormal"/>
    <w:uiPriority w:val="64"/>
    <w:semiHidden/>
    <w:unhideWhenUsed/>
    <w:rsid w:val="0066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TableNormal"/>
    <w:uiPriority w:val="64"/>
    <w:semiHidden/>
    <w:unhideWhenUsed/>
    <w:rsid w:val="0066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TableNormal"/>
    <w:uiPriority w:val="64"/>
    <w:semiHidden/>
    <w:unhideWhenUsed/>
    <w:rsid w:val="0066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7">
    <w:name w:val="הצללה צבעונית1"/>
    <w:basedOn w:val="TableNormal"/>
    <w:uiPriority w:val="71"/>
    <w:semiHidden/>
    <w:unhideWhenUsed/>
    <w:rsid w:val="00665DC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TableNormal"/>
    <w:uiPriority w:val="71"/>
    <w:semiHidden/>
    <w:unhideWhenUsed/>
    <w:rsid w:val="00665DC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TableNormal"/>
    <w:uiPriority w:val="71"/>
    <w:semiHidden/>
    <w:unhideWhenUsed/>
    <w:rsid w:val="00665DC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TableNormal"/>
    <w:uiPriority w:val="71"/>
    <w:semiHidden/>
    <w:unhideWhenUsed/>
    <w:rsid w:val="00665DC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TableNormal"/>
    <w:uiPriority w:val="71"/>
    <w:semiHidden/>
    <w:unhideWhenUsed/>
    <w:rsid w:val="00665DC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TableNormal"/>
    <w:uiPriority w:val="71"/>
    <w:semiHidden/>
    <w:unhideWhenUsed/>
    <w:rsid w:val="00665DC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TableNormal"/>
    <w:uiPriority w:val="71"/>
    <w:semiHidden/>
    <w:unhideWhenUsed/>
    <w:rsid w:val="00665DC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Strong">
    <w:name w:val="Strong"/>
    <w:qFormat/>
    <w:rsid w:val="00665DC6"/>
    <w:rPr>
      <w:b/>
      <w:bCs/>
      <w:noProof w:val="0"/>
    </w:rPr>
  </w:style>
  <w:style w:type="paragraph" w:styleId="Signature">
    <w:name w:val="Signature"/>
    <w:basedOn w:val="Normal"/>
    <w:link w:val="a4"/>
    <w:rsid w:val="00665DC6"/>
    <w:pPr>
      <w:ind w:left="4252"/>
    </w:pPr>
  </w:style>
  <w:style w:type="character" w:customStyle="1" w:styleId="a4">
    <w:name w:val="חתימה תו"/>
    <w:link w:val="Signature"/>
    <w:semiHidden/>
    <w:rsid w:val="00665DC6"/>
    <w:rPr>
      <w:rFonts w:cs="David"/>
      <w:noProof w:val="0"/>
      <w:sz w:val="24"/>
      <w:szCs w:val="24"/>
    </w:rPr>
  </w:style>
  <w:style w:type="paragraph" w:styleId="E-mailSignature">
    <w:name w:val="E-mail Signature"/>
    <w:basedOn w:val="Normal"/>
    <w:link w:val="a5"/>
    <w:rsid w:val="00665DC6"/>
  </w:style>
  <w:style w:type="character" w:customStyle="1" w:styleId="a5">
    <w:name w:val="חתימת דואר אלקטרוני תו"/>
    <w:link w:val="E-mailSignature"/>
    <w:semiHidden/>
    <w:rsid w:val="00665DC6"/>
    <w:rPr>
      <w:rFonts w:cs="David"/>
      <w:noProof w:val="0"/>
      <w:sz w:val="24"/>
      <w:szCs w:val="24"/>
    </w:rPr>
  </w:style>
  <w:style w:type="table" w:styleId="TableElegant">
    <w:name w:val="Table Elegant"/>
    <w:basedOn w:val="TableNormal"/>
    <w:rsid w:val="00665DC6"/>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65DC6"/>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5DC6"/>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5DC6"/>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65DC6"/>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665DC6"/>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5DC6"/>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5DC6"/>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rsid w:val="00665DC6"/>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5DC6"/>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5DC6"/>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65DC6"/>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5DC6"/>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5DC6"/>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5DC6"/>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TableNormal"/>
    <w:uiPriority w:val="41"/>
    <w:rsid w:val="00665DC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טבלה רגילה 21"/>
    <w:basedOn w:val="TableNormal"/>
    <w:uiPriority w:val="42"/>
    <w:rsid w:val="00665DC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טבלה רגילה 31"/>
    <w:basedOn w:val="TableNormal"/>
    <w:uiPriority w:val="43"/>
    <w:rsid w:val="00665DC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
    <w:name w:val="טבלה רגילה 41"/>
    <w:basedOn w:val="TableNormal"/>
    <w:uiPriority w:val="44"/>
    <w:rsid w:val="00665D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טבלה רגילה 51"/>
    <w:basedOn w:val="TableNormal"/>
    <w:uiPriority w:val="45"/>
    <w:rsid w:val="00665DC6"/>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rsid w:val="00665DC6"/>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5DC6"/>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5DC6"/>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TableNormal"/>
    <w:uiPriority w:val="46"/>
    <w:rsid w:val="00665DC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TableNormal"/>
    <w:uiPriority w:val="46"/>
    <w:rsid w:val="00665DC6"/>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TableNormal"/>
    <w:uiPriority w:val="46"/>
    <w:rsid w:val="00665DC6"/>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TableNormal"/>
    <w:uiPriority w:val="46"/>
    <w:rsid w:val="00665DC6"/>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TableNormal"/>
    <w:uiPriority w:val="46"/>
    <w:rsid w:val="00665DC6"/>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TableNormal"/>
    <w:uiPriority w:val="46"/>
    <w:rsid w:val="00665DC6"/>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TableNormal"/>
    <w:uiPriority w:val="46"/>
    <w:rsid w:val="00665DC6"/>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1">
    <w:name w:val="טבלת רשימה 21"/>
    <w:basedOn w:val="TableNormal"/>
    <w:uiPriority w:val="47"/>
    <w:rsid w:val="00665DC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TableNormal"/>
    <w:uiPriority w:val="47"/>
    <w:rsid w:val="00665DC6"/>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TableNormal"/>
    <w:uiPriority w:val="47"/>
    <w:rsid w:val="00665DC6"/>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TableNormal"/>
    <w:uiPriority w:val="47"/>
    <w:rsid w:val="00665DC6"/>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TableNormal"/>
    <w:uiPriority w:val="47"/>
    <w:rsid w:val="00665DC6"/>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TableNormal"/>
    <w:uiPriority w:val="47"/>
    <w:rsid w:val="00665DC6"/>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TableNormal"/>
    <w:uiPriority w:val="47"/>
    <w:rsid w:val="00665DC6"/>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0">
    <w:name w:val="טבלת רשימה 31"/>
    <w:basedOn w:val="TableNormal"/>
    <w:uiPriority w:val="48"/>
    <w:rsid w:val="00665DC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TableNormal"/>
    <w:uiPriority w:val="48"/>
    <w:rsid w:val="00665DC6"/>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TableNormal"/>
    <w:uiPriority w:val="48"/>
    <w:rsid w:val="00665DC6"/>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TableNormal"/>
    <w:uiPriority w:val="48"/>
    <w:rsid w:val="00665DC6"/>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TableNormal"/>
    <w:uiPriority w:val="48"/>
    <w:rsid w:val="00665DC6"/>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TableNormal"/>
    <w:uiPriority w:val="48"/>
    <w:rsid w:val="00665DC6"/>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TableNormal"/>
    <w:uiPriority w:val="48"/>
    <w:rsid w:val="00665DC6"/>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0">
    <w:name w:val="טבלת רשימה 41"/>
    <w:basedOn w:val="TableNormal"/>
    <w:uiPriority w:val="49"/>
    <w:rsid w:val="00665DC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TableNormal"/>
    <w:uiPriority w:val="49"/>
    <w:rsid w:val="00665DC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TableNormal"/>
    <w:uiPriority w:val="49"/>
    <w:rsid w:val="00665DC6"/>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TableNormal"/>
    <w:uiPriority w:val="49"/>
    <w:rsid w:val="00665DC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TableNormal"/>
    <w:uiPriority w:val="49"/>
    <w:rsid w:val="00665DC6"/>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TableNormal"/>
    <w:uiPriority w:val="49"/>
    <w:rsid w:val="00665DC6"/>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TableNormal"/>
    <w:uiPriority w:val="49"/>
    <w:rsid w:val="00665DC6"/>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0">
    <w:name w:val="טבלת רשימה 5 כהה1"/>
    <w:basedOn w:val="TableNormal"/>
    <w:uiPriority w:val="50"/>
    <w:rsid w:val="00665DC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TableNormal"/>
    <w:uiPriority w:val="50"/>
    <w:rsid w:val="00665DC6"/>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TableNormal"/>
    <w:uiPriority w:val="50"/>
    <w:rsid w:val="00665DC6"/>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TableNormal"/>
    <w:uiPriority w:val="50"/>
    <w:rsid w:val="00665DC6"/>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TableNormal"/>
    <w:uiPriority w:val="50"/>
    <w:rsid w:val="00665DC6"/>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TableNormal"/>
    <w:uiPriority w:val="50"/>
    <w:rsid w:val="00665DC6"/>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TableNormal"/>
    <w:uiPriority w:val="50"/>
    <w:rsid w:val="00665DC6"/>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TableNormal"/>
    <w:uiPriority w:val="51"/>
    <w:rsid w:val="00665DC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TableNormal"/>
    <w:uiPriority w:val="51"/>
    <w:rsid w:val="00665DC6"/>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TableNormal"/>
    <w:uiPriority w:val="51"/>
    <w:rsid w:val="00665DC6"/>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TableNormal"/>
    <w:uiPriority w:val="51"/>
    <w:rsid w:val="00665DC6"/>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TableNormal"/>
    <w:uiPriority w:val="51"/>
    <w:rsid w:val="00665DC6"/>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TableNormal"/>
    <w:uiPriority w:val="51"/>
    <w:rsid w:val="00665DC6"/>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TableNormal"/>
    <w:uiPriority w:val="51"/>
    <w:rsid w:val="00665DC6"/>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TableNormal"/>
    <w:uiPriority w:val="52"/>
    <w:rsid w:val="00665DC6"/>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TableNormal"/>
    <w:uiPriority w:val="52"/>
    <w:rsid w:val="00665DC6"/>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TableNormal"/>
    <w:uiPriority w:val="52"/>
    <w:rsid w:val="00665DC6"/>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TableNormal"/>
    <w:uiPriority w:val="52"/>
    <w:rsid w:val="00665DC6"/>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TableNormal"/>
    <w:uiPriority w:val="52"/>
    <w:rsid w:val="00665DC6"/>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TableNormal"/>
    <w:uiPriority w:val="52"/>
    <w:rsid w:val="00665DC6"/>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TableNormal"/>
    <w:uiPriority w:val="52"/>
    <w:rsid w:val="00665DC6"/>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TableNormal"/>
    <w:uiPriority w:val="46"/>
    <w:rsid w:val="00665DC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TableNormal"/>
    <w:uiPriority w:val="46"/>
    <w:rsid w:val="00665DC6"/>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TableNormal"/>
    <w:uiPriority w:val="46"/>
    <w:rsid w:val="00665DC6"/>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TableNormal"/>
    <w:uiPriority w:val="46"/>
    <w:rsid w:val="00665DC6"/>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TableNormal"/>
    <w:uiPriority w:val="46"/>
    <w:rsid w:val="00665DC6"/>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TableNormal"/>
    <w:uiPriority w:val="46"/>
    <w:rsid w:val="00665DC6"/>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TableNormal"/>
    <w:uiPriority w:val="46"/>
    <w:rsid w:val="00665DC6"/>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2">
    <w:name w:val="טבלת רשת 21"/>
    <w:basedOn w:val="TableNormal"/>
    <w:uiPriority w:val="47"/>
    <w:rsid w:val="00665DC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TableNormal"/>
    <w:uiPriority w:val="47"/>
    <w:rsid w:val="00665DC6"/>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TableNormal"/>
    <w:uiPriority w:val="47"/>
    <w:rsid w:val="00665DC6"/>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TableNormal"/>
    <w:uiPriority w:val="47"/>
    <w:rsid w:val="00665DC6"/>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TableNormal"/>
    <w:uiPriority w:val="47"/>
    <w:rsid w:val="00665DC6"/>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TableNormal"/>
    <w:uiPriority w:val="47"/>
    <w:rsid w:val="00665DC6"/>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TableNormal"/>
    <w:uiPriority w:val="47"/>
    <w:rsid w:val="00665DC6"/>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ת 31"/>
    <w:basedOn w:val="TableNormal"/>
    <w:uiPriority w:val="48"/>
    <w:rsid w:val="00665DC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TableNormal"/>
    <w:uiPriority w:val="48"/>
    <w:rsid w:val="00665DC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TableNormal"/>
    <w:uiPriority w:val="48"/>
    <w:rsid w:val="00665DC6"/>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TableNormal"/>
    <w:uiPriority w:val="48"/>
    <w:rsid w:val="00665DC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TableNormal"/>
    <w:uiPriority w:val="48"/>
    <w:rsid w:val="00665DC6"/>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TableNormal"/>
    <w:uiPriority w:val="48"/>
    <w:rsid w:val="00665DC6"/>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TableNormal"/>
    <w:uiPriority w:val="48"/>
    <w:rsid w:val="00665DC6"/>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1">
    <w:name w:val="טבלת רשת 41"/>
    <w:basedOn w:val="TableNormal"/>
    <w:uiPriority w:val="49"/>
    <w:rsid w:val="00665DC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TableNormal"/>
    <w:uiPriority w:val="49"/>
    <w:rsid w:val="00665DC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TableNormal"/>
    <w:uiPriority w:val="49"/>
    <w:rsid w:val="00665DC6"/>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TableNormal"/>
    <w:uiPriority w:val="49"/>
    <w:rsid w:val="00665DC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TableNormal"/>
    <w:uiPriority w:val="49"/>
    <w:rsid w:val="00665DC6"/>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TableNormal"/>
    <w:uiPriority w:val="49"/>
    <w:rsid w:val="00665DC6"/>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TableNormal"/>
    <w:uiPriority w:val="49"/>
    <w:rsid w:val="00665DC6"/>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ת 5 כהה1"/>
    <w:basedOn w:val="TableNormal"/>
    <w:uiPriority w:val="50"/>
    <w:rsid w:val="00665DC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TableNormal"/>
    <w:uiPriority w:val="50"/>
    <w:rsid w:val="00665DC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TableNormal"/>
    <w:uiPriority w:val="50"/>
    <w:rsid w:val="00665DC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TableNormal"/>
    <w:uiPriority w:val="50"/>
    <w:rsid w:val="00665DC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TableNormal"/>
    <w:uiPriority w:val="50"/>
    <w:rsid w:val="00665DC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TableNormal"/>
    <w:uiPriority w:val="50"/>
    <w:rsid w:val="00665DC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TableNormal"/>
    <w:uiPriority w:val="50"/>
    <w:rsid w:val="00665DC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TableNormal"/>
    <w:uiPriority w:val="51"/>
    <w:rsid w:val="00665DC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TableNormal"/>
    <w:uiPriority w:val="51"/>
    <w:rsid w:val="00665DC6"/>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TableNormal"/>
    <w:uiPriority w:val="51"/>
    <w:rsid w:val="00665DC6"/>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TableNormal"/>
    <w:uiPriority w:val="51"/>
    <w:rsid w:val="00665DC6"/>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TableNormal"/>
    <w:uiPriority w:val="51"/>
    <w:rsid w:val="00665DC6"/>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TableNormal"/>
    <w:uiPriority w:val="51"/>
    <w:rsid w:val="00665DC6"/>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TableNormal"/>
    <w:uiPriority w:val="51"/>
    <w:rsid w:val="00665DC6"/>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TableNormal"/>
    <w:uiPriority w:val="52"/>
    <w:rsid w:val="00665DC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TableNormal"/>
    <w:uiPriority w:val="52"/>
    <w:rsid w:val="00665DC6"/>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TableNormal"/>
    <w:uiPriority w:val="52"/>
    <w:rsid w:val="00665DC6"/>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TableNormal"/>
    <w:uiPriority w:val="52"/>
    <w:rsid w:val="00665DC6"/>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TableNormal"/>
    <w:uiPriority w:val="52"/>
    <w:rsid w:val="00665DC6"/>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TableNormal"/>
    <w:uiPriority w:val="52"/>
    <w:rsid w:val="00665DC6"/>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TableNormal"/>
    <w:uiPriority w:val="52"/>
    <w:rsid w:val="00665DC6"/>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BlockText">
    <w:name w:val="Block Text"/>
    <w:basedOn w:val="Normal"/>
    <w:rsid w:val="00665DC6"/>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EndnoteText">
    <w:name w:val="endnote text"/>
    <w:basedOn w:val="Normal"/>
    <w:link w:val="a6"/>
    <w:rsid w:val="00665DC6"/>
    <w:rPr>
      <w:sz w:val="20"/>
      <w:szCs w:val="20"/>
    </w:rPr>
  </w:style>
  <w:style w:type="character" w:customStyle="1" w:styleId="a6">
    <w:name w:val="טקסט הערת סיום תו"/>
    <w:link w:val="EndnoteText"/>
    <w:semiHidden/>
    <w:rsid w:val="00665DC6"/>
    <w:rPr>
      <w:rFonts w:cs="David"/>
      <w:noProof w:val="0"/>
    </w:rPr>
  </w:style>
  <w:style w:type="paragraph" w:styleId="FootnoteText">
    <w:name w:val="footnote text"/>
    <w:basedOn w:val="Normal"/>
    <w:link w:val="a7"/>
    <w:rsid w:val="00665DC6"/>
    <w:rPr>
      <w:sz w:val="20"/>
      <w:szCs w:val="20"/>
    </w:rPr>
  </w:style>
  <w:style w:type="character" w:customStyle="1" w:styleId="a7">
    <w:name w:val="טקסט הערת שוליים תו"/>
    <w:link w:val="FootnoteText"/>
    <w:semiHidden/>
    <w:rsid w:val="00665DC6"/>
    <w:rPr>
      <w:rFonts w:cs="David"/>
      <w:noProof w:val="0"/>
    </w:rPr>
  </w:style>
  <w:style w:type="paragraph" w:styleId="Macro">
    <w:name w:val="macro"/>
    <w:link w:val="a8"/>
    <w:rsid w:val="00665DC6"/>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8">
    <w:name w:val="טקסט מאקרו תו"/>
    <w:link w:val="Macro"/>
    <w:semiHidden/>
    <w:rsid w:val="00665DC6"/>
    <w:rPr>
      <w:rFonts w:ascii="Consolas" w:hAnsi="Consolas" w:cs="David"/>
      <w:noProof w:val="0"/>
    </w:rPr>
  </w:style>
  <w:style w:type="paragraph" w:styleId="PlainText">
    <w:name w:val="Plain Text"/>
    <w:basedOn w:val="Normal"/>
    <w:link w:val="a9"/>
    <w:rsid w:val="00665DC6"/>
    <w:rPr>
      <w:rFonts w:ascii="Consolas" w:hAnsi="Consolas"/>
      <w:sz w:val="21"/>
      <w:szCs w:val="21"/>
    </w:rPr>
  </w:style>
  <w:style w:type="character" w:customStyle="1" w:styleId="a9">
    <w:name w:val="טקסט רגיל תו"/>
    <w:link w:val="PlainText"/>
    <w:semiHidden/>
    <w:rsid w:val="00665DC6"/>
    <w:rPr>
      <w:rFonts w:ascii="Consolas" w:hAnsi="Consolas" w:cs="David"/>
      <w:noProof w:val="0"/>
      <w:sz w:val="21"/>
      <w:szCs w:val="21"/>
    </w:rPr>
  </w:style>
  <w:style w:type="character" w:customStyle="1" w:styleId="18">
    <w:name w:val="כותר הספר1"/>
    <w:uiPriority w:val="33"/>
    <w:qFormat/>
    <w:rsid w:val="00665DC6"/>
    <w:rPr>
      <w:b/>
      <w:bCs/>
      <w:i/>
      <w:iCs/>
      <w:noProof w:val="0"/>
      <w:spacing w:val="5"/>
    </w:rPr>
  </w:style>
  <w:style w:type="character" w:customStyle="1" w:styleId="19">
    <w:name w:val="כותרת 1 תו"/>
    <w:link w:val="Heading1"/>
    <w:rsid w:val="00665DC6"/>
    <w:rPr>
      <w:rFonts w:ascii="Cambria" w:eastAsia="Times New Roman" w:hAnsi="Cambria" w:cs="Times New Roman"/>
      <w:noProof w:val="0"/>
      <w:color w:val="365F91"/>
      <w:sz w:val="32"/>
      <w:szCs w:val="32"/>
    </w:rPr>
  </w:style>
  <w:style w:type="character" w:customStyle="1" w:styleId="20">
    <w:name w:val="כותרת 2 תו"/>
    <w:link w:val="Heading2"/>
    <w:semiHidden/>
    <w:rsid w:val="00665DC6"/>
    <w:rPr>
      <w:rFonts w:ascii="Cambria" w:eastAsia="Times New Roman" w:hAnsi="Cambria" w:cs="Times New Roman"/>
      <w:noProof w:val="0"/>
      <w:color w:val="365F91"/>
      <w:sz w:val="26"/>
      <w:szCs w:val="26"/>
    </w:rPr>
  </w:style>
  <w:style w:type="character" w:customStyle="1" w:styleId="5">
    <w:name w:val="כותרת 5 תו"/>
    <w:link w:val="Heading5"/>
    <w:semiHidden/>
    <w:rsid w:val="00665DC6"/>
    <w:rPr>
      <w:rFonts w:ascii="Cambria" w:eastAsia="Times New Roman" w:hAnsi="Cambria" w:cs="Times New Roman"/>
      <w:noProof w:val="0"/>
      <w:color w:val="365F91"/>
      <w:sz w:val="24"/>
      <w:szCs w:val="24"/>
    </w:rPr>
  </w:style>
  <w:style w:type="character" w:customStyle="1" w:styleId="6">
    <w:name w:val="כותרת 6 תו"/>
    <w:link w:val="Heading6"/>
    <w:semiHidden/>
    <w:rsid w:val="00665DC6"/>
    <w:rPr>
      <w:rFonts w:ascii="Cambria" w:eastAsia="Times New Roman" w:hAnsi="Cambria" w:cs="Times New Roman"/>
      <w:noProof w:val="0"/>
      <w:color w:val="243F60"/>
      <w:sz w:val="24"/>
      <w:szCs w:val="24"/>
    </w:rPr>
  </w:style>
  <w:style w:type="character" w:customStyle="1" w:styleId="7">
    <w:name w:val="כותרת 7 תו"/>
    <w:link w:val="Heading7"/>
    <w:semiHidden/>
    <w:rsid w:val="00665DC6"/>
    <w:rPr>
      <w:rFonts w:ascii="Cambria" w:eastAsia="Times New Roman" w:hAnsi="Cambria" w:cs="Times New Roman"/>
      <w:i/>
      <w:iCs/>
      <w:noProof w:val="0"/>
      <w:color w:val="243F60"/>
      <w:sz w:val="24"/>
      <w:szCs w:val="24"/>
    </w:rPr>
  </w:style>
  <w:style w:type="character" w:customStyle="1" w:styleId="8">
    <w:name w:val="כותרת 8 תו"/>
    <w:link w:val="Heading8"/>
    <w:semiHidden/>
    <w:rsid w:val="00665DC6"/>
    <w:rPr>
      <w:rFonts w:ascii="Cambria" w:eastAsia="Times New Roman" w:hAnsi="Cambria" w:cs="Times New Roman"/>
      <w:noProof w:val="0"/>
      <w:color w:val="272727"/>
      <w:sz w:val="21"/>
      <w:szCs w:val="21"/>
    </w:rPr>
  </w:style>
  <w:style w:type="character" w:customStyle="1" w:styleId="9">
    <w:name w:val="כותרת 9 תו"/>
    <w:link w:val="Heading9"/>
    <w:semiHidden/>
    <w:rsid w:val="00665DC6"/>
    <w:rPr>
      <w:rFonts w:ascii="Cambria" w:eastAsia="Times New Roman" w:hAnsi="Cambria" w:cs="Times New Roman"/>
      <w:i/>
      <w:iCs/>
      <w:noProof w:val="0"/>
      <w:color w:val="272727"/>
      <w:sz w:val="21"/>
      <w:szCs w:val="21"/>
    </w:rPr>
  </w:style>
  <w:style w:type="paragraph" w:styleId="IndexHeading">
    <w:name w:val="index heading"/>
    <w:basedOn w:val="Normal"/>
    <w:next w:val="Index1"/>
    <w:rsid w:val="00665DC6"/>
    <w:rPr>
      <w:rFonts w:ascii="Cambria" w:hAnsi="Cambria" w:cs="Times New Roman"/>
      <w:b/>
      <w:bCs/>
    </w:rPr>
  </w:style>
  <w:style w:type="paragraph" w:styleId="NoteHeading">
    <w:name w:val="Note Heading"/>
    <w:basedOn w:val="Normal"/>
    <w:next w:val="Normal"/>
    <w:link w:val="a10"/>
    <w:rsid w:val="00665DC6"/>
  </w:style>
  <w:style w:type="character" w:customStyle="1" w:styleId="a10">
    <w:name w:val="כותרת הערות תו"/>
    <w:link w:val="NoteHeading"/>
    <w:semiHidden/>
    <w:rsid w:val="00665DC6"/>
    <w:rPr>
      <w:rFonts w:cs="David"/>
      <w:noProof w:val="0"/>
      <w:sz w:val="24"/>
      <w:szCs w:val="24"/>
    </w:rPr>
  </w:style>
  <w:style w:type="paragraph" w:styleId="Title">
    <w:name w:val="Title"/>
    <w:basedOn w:val="Normal"/>
    <w:next w:val="Normal"/>
    <w:link w:val="a11"/>
    <w:qFormat/>
    <w:rsid w:val="00665DC6"/>
    <w:pPr>
      <w:contextualSpacing/>
    </w:pPr>
    <w:rPr>
      <w:rFonts w:ascii="Cambria" w:hAnsi="Cambria" w:cs="Times New Roman"/>
      <w:spacing w:val="-10"/>
      <w:kern w:val="28"/>
      <w:sz w:val="56"/>
      <w:szCs w:val="56"/>
    </w:rPr>
  </w:style>
  <w:style w:type="character" w:customStyle="1" w:styleId="a11">
    <w:name w:val="כותרת טקסט תו"/>
    <w:link w:val="Title"/>
    <w:rsid w:val="00665DC6"/>
    <w:rPr>
      <w:rFonts w:ascii="Cambria" w:eastAsia="Times New Roman" w:hAnsi="Cambria" w:cs="Times New Roman"/>
      <w:noProof w:val="0"/>
      <w:spacing w:val="-10"/>
      <w:kern w:val="28"/>
      <w:sz w:val="56"/>
      <w:szCs w:val="56"/>
    </w:rPr>
  </w:style>
  <w:style w:type="paragraph" w:styleId="Subtitle">
    <w:name w:val="Subtitle"/>
    <w:basedOn w:val="Normal"/>
    <w:next w:val="Normal"/>
    <w:link w:val="a12"/>
    <w:qFormat/>
    <w:rsid w:val="00665DC6"/>
    <w:pPr>
      <w:numPr>
        <w:ilvl w:val="1"/>
      </w:numPr>
      <w:spacing w:after="160"/>
    </w:pPr>
    <w:rPr>
      <w:rFonts w:ascii="Calibri" w:hAnsi="Calibri" w:cs="Arial"/>
      <w:color w:val="5A5A5A"/>
      <w:spacing w:val="15"/>
      <w:sz w:val="22"/>
      <w:szCs w:val="22"/>
    </w:rPr>
  </w:style>
  <w:style w:type="character" w:customStyle="1" w:styleId="a12">
    <w:name w:val="כותרת משנה תו"/>
    <w:link w:val="Subtitle"/>
    <w:rsid w:val="00665DC6"/>
    <w:rPr>
      <w:rFonts w:ascii="Calibri" w:eastAsia="Times New Roman" w:hAnsi="Calibri" w:cs="Arial"/>
      <w:noProof w:val="0"/>
      <w:color w:val="5A5A5A"/>
      <w:spacing w:val="15"/>
      <w:sz w:val="22"/>
      <w:szCs w:val="22"/>
    </w:rPr>
  </w:style>
  <w:style w:type="paragraph" w:styleId="MessageHeader">
    <w:name w:val="Message Header"/>
    <w:basedOn w:val="Normal"/>
    <w:link w:val="a13"/>
    <w:rsid w:val="00665DC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13">
    <w:name w:val="כותרת עליונה של הודעה תו"/>
    <w:link w:val="MessageHeader"/>
    <w:semiHidden/>
    <w:rsid w:val="00665DC6"/>
    <w:rPr>
      <w:rFonts w:ascii="Cambria" w:eastAsia="Times New Roman" w:hAnsi="Cambria" w:cs="Times New Roman"/>
      <w:noProof w:val="0"/>
      <w:sz w:val="24"/>
      <w:szCs w:val="24"/>
      <w:shd w:val="pct20" w:color="auto" w:fill="auto"/>
    </w:rPr>
  </w:style>
  <w:style w:type="paragraph" w:styleId="TOAHeading">
    <w:name w:val="toa heading"/>
    <w:basedOn w:val="Normal"/>
    <w:next w:val="Normal"/>
    <w:rsid w:val="00665DC6"/>
    <w:pPr>
      <w:spacing w:before="120"/>
    </w:pPr>
    <w:rPr>
      <w:rFonts w:ascii="Cambria" w:hAnsi="Cambria" w:cs="Times New Roman"/>
      <w:b/>
      <w:bCs/>
    </w:rPr>
  </w:style>
  <w:style w:type="paragraph" w:customStyle="1" w:styleId="114">
    <w:name w:val="כותרת תוכן עניינים1"/>
    <w:basedOn w:val="Heading1"/>
    <w:next w:val="Normal"/>
    <w:uiPriority w:val="39"/>
    <w:qFormat/>
    <w:rsid w:val="00665DC6"/>
    <w:pPr>
      <w:outlineLvl w:val="9"/>
    </w:pPr>
  </w:style>
  <w:style w:type="paragraph" w:styleId="Caption">
    <w:name w:val="caption"/>
    <w:basedOn w:val="Normal"/>
    <w:next w:val="Normal"/>
    <w:qFormat/>
    <w:rsid w:val="00665DC6"/>
    <w:pPr>
      <w:spacing w:after="200"/>
    </w:pPr>
    <w:rPr>
      <w:i/>
      <w:iCs/>
      <w:color w:val="1F497D"/>
      <w:sz w:val="18"/>
      <w:szCs w:val="18"/>
    </w:rPr>
  </w:style>
  <w:style w:type="paragraph" w:styleId="BodyTextIndent">
    <w:name w:val="Body Text Indent"/>
    <w:basedOn w:val="Normal"/>
    <w:link w:val="a14"/>
    <w:rsid w:val="00665DC6"/>
    <w:pPr>
      <w:spacing w:after="120"/>
      <w:ind w:left="283"/>
    </w:pPr>
  </w:style>
  <w:style w:type="character" w:customStyle="1" w:styleId="a14">
    <w:name w:val="כניסה בגוף טקסט תו"/>
    <w:link w:val="BodyTextIndent"/>
    <w:semiHidden/>
    <w:rsid w:val="00665DC6"/>
    <w:rPr>
      <w:rFonts w:cs="David"/>
      <w:noProof w:val="0"/>
      <w:sz w:val="24"/>
      <w:szCs w:val="24"/>
    </w:rPr>
  </w:style>
  <w:style w:type="paragraph" w:styleId="BodyTextIndent2">
    <w:name w:val="Body Text Indent 2"/>
    <w:basedOn w:val="Normal"/>
    <w:link w:val="22"/>
    <w:rsid w:val="00665DC6"/>
    <w:pPr>
      <w:spacing w:after="120" w:line="480" w:lineRule="auto"/>
      <w:ind w:left="283"/>
    </w:pPr>
  </w:style>
  <w:style w:type="character" w:customStyle="1" w:styleId="22">
    <w:name w:val="כניסה בגוף טקסט 2 תו"/>
    <w:link w:val="BodyTextIndent2"/>
    <w:semiHidden/>
    <w:rsid w:val="00665DC6"/>
    <w:rPr>
      <w:rFonts w:cs="David"/>
      <w:noProof w:val="0"/>
      <w:sz w:val="24"/>
      <w:szCs w:val="24"/>
    </w:rPr>
  </w:style>
  <w:style w:type="paragraph" w:styleId="BodyTextIndent3">
    <w:name w:val="Body Text Indent 3"/>
    <w:basedOn w:val="Normal"/>
    <w:link w:val="32"/>
    <w:rsid w:val="00665DC6"/>
    <w:pPr>
      <w:spacing w:after="120"/>
      <w:ind w:left="283"/>
    </w:pPr>
    <w:rPr>
      <w:sz w:val="16"/>
      <w:szCs w:val="16"/>
    </w:rPr>
  </w:style>
  <w:style w:type="character" w:customStyle="1" w:styleId="32">
    <w:name w:val="כניסה בגוף טקסט 3 תו"/>
    <w:link w:val="BodyTextIndent3"/>
    <w:semiHidden/>
    <w:rsid w:val="00665DC6"/>
    <w:rPr>
      <w:rFonts w:cs="David"/>
      <w:noProof w:val="0"/>
      <w:sz w:val="16"/>
      <w:szCs w:val="16"/>
    </w:rPr>
  </w:style>
  <w:style w:type="paragraph" w:styleId="NormalIndent">
    <w:name w:val="Normal Indent"/>
    <w:basedOn w:val="Normal"/>
    <w:rsid w:val="00665DC6"/>
    <w:pPr>
      <w:ind w:left="720"/>
    </w:pPr>
  </w:style>
  <w:style w:type="paragraph" w:styleId="BodyTextFirstIndent">
    <w:name w:val="Body Text First Indent"/>
    <w:basedOn w:val="BodyText"/>
    <w:link w:val="a15"/>
    <w:rsid w:val="00665DC6"/>
    <w:pPr>
      <w:spacing w:after="0"/>
      <w:ind w:firstLine="360"/>
    </w:pPr>
  </w:style>
  <w:style w:type="character" w:customStyle="1" w:styleId="a15">
    <w:name w:val="כניסת שורה ראשונה בגוף טקסט תו"/>
    <w:link w:val="BodyTextFirstIndent"/>
    <w:rsid w:val="00665DC6"/>
    <w:rPr>
      <w:rFonts w:cs="David"/>
      <w:noProof w:val="0"/>
      <w:sz w:val="24"/>
      <w:szCs w:val="24"/>
    </w:rPr>
  </w:style>
  <w:style w:type="paragraph" w:styleId="BodyTextFirstIndent2">
    <w:name w:val="Body Text First Indent 2"/>
    <w:basedOn w:val="BodyTextIndent"/>
    <w:link w:val="23"/>
    <w:rsid w:val="00665DC6"/>
    <w:pPr>
      <w:spacing w:after="0"/>
      <w:ind w:left="360" w:firstLine="360"/>
    </w:pPr>
  </w:style>
  <w:style w:type="character" w:customStyle="1" w:styleId="23">
    <w:name w:val="כניסת שורה ראשונה בגוף טקסט 2 תו"/>
    <w:link w:val="BodyTextFirstIndent2"/>
    <w:semiHidden/>
    <w:rsid w:val="00665DC6"/>
    <w:rPr>
      <w:rFonts w:cs="David"/>
      <w:noProof w:val="0"/>
      <w:sz w:val="24"/>
      <w:szCs w:val="24"/>
    </w:rPr>
  </w:style>
  <w:style w:type="paragraph" w:styleId="HTMLAddress">
    <w:name w:val="HTML Address"/>
    <w:basedOn w:val="Normal"/>
    <w:link w:val="HTML0"/>
    <w:rsid w:val="00665DC6"/>
    <w:rPr>
      <w:i/>
      <w:iCs/>
    </w:rPr>
  </w:style>
  <w:style w:type="character" w:customStyle="1" w:styleId="HTML0">
    <w:name w:val="כתובת HTML תו"/>
    <w:link w:val="HTMLAddress"/>
    <w:semiHidden/>
    <w:rsid w:val="00665DC6"/>
    <w:rPr>
      <w:rFonts w:cs="David"/>
      <w:i/>
      <w:iCs/>
      <w:noProof w:val="0"/>
      <w:sz w:val="24"/>
      <w:szCs w:val="24"/>
    </w:rPr>
  </w:style>
  <w:style w:type="paragraph" w:styleId="EnvelopeAddress">
    <w:name w:val="envelope address"/>
    <w:basedOn w:val="Normal"/>
    <w:rsid w:val="00665DC6"/>
    <w:pPr>
      <w:framePr w:w="7920" w:h="1980" w:hRule="exact" w:hSpace="180" w:wrap="auto" w:hAnchor="page" w:xAlign="center" w:yAlign="bottom"/>
      <w:ind w:left="2880"/>
    </w:pPr>
    <w:rPr>
      <w:rFonts w:ascii="Cambria" w:hAnsi="Cambria" w:cs="Times New Roman"/>
    </w:rPr>
  </w:style>
  <w:style w:type="paragraph" w:styleId="EnvelopeReturn">
    <w:name w:val="envelope return"/>
    <w:basedOn w:val="Normal"/>
    <w:rsid w:val="00665DC6"/>
    <w:rPr>
      <w:rFonts w:ascii="Cambria" w:hAnsi="Cambria" w:cs="Times New Roman"/>
      <w:sz w:val="20"/>
      <w:szCs w:val="20"/>
    </w:rPr>
  </w:style>
  <w:style w:type="paragraph" w:customStyle="1" w:styleId="115">
    <w:name w:val="ללא מרווח1"/>
    <w:uiPriority w:val="1"/>
    <w:qFormat/>
    <w:rsid w:val="00665DC6"/>
    <w:pPr>
      <w:bidi/>
    </w:pPr>
    <w:rPr>
      <w:rFonts w:cs="David"/>
      <w:sz w:val="24"/>
      <w:szCs w:val="24"/>
      <w:lang w:bidi="he-IL"/>
    </w:rPr>
  </w:style>
  <w:style w:type="character" w:styleId="HTMLTypewriter">
    <w:name w:val="HTML Typewriter"/>
    <w:rsid w:val="00665DC6"/>
    <w:rPr>
      <w:rFonts w:ascii="Consolas" w:hAnsi="Consolas"/>
      <w:noProof w:val="0"/>
      <w:sz w:val="20"/>
      <w:szCs w:val="20"/>
    </w:rPr>
  </w:style>
  <w:style w:type="paragraph" w:styleId="DocumentMap">
    <w:name w:val="Document Map"/>
    <w:basedOn w:val="Normal"/>
    <w:link w:val="a16"/>
    <w:rsid w:val="00665DC6"/>
    <w:rPr>
      <w:rFonts w:ascii="Tahoma" w:hAnsi="Tahoma" w:cs="Tahoma"/>
      <w:sz w:val="16"/>
      <w:szCs w:val="16"/>
    </w:rPr>
  </w:style>
  <w:style w:type="character" w:customStyle="1" w:styleId="a16">
    <w:name w:val="מפת מסמך תו"/>
    <w:link w:val="DocumentMap"/>
    <w:semiHidden/>
    <w:rsid w:val="00665DC6"/>
    <w:rPr>
      <w:rFonts w:ascii="Tahoma" w:hAnsi="Tahoma" w:cs="Tahoma"/>
      <w:noProof w:val="0"/>
      <w:sz w:val="16"/>
      <w:szCs w:val="16"/>
    </w:rPr>
  </w:style>
  <w:style w:type="character" w:styleId="HTMLKeyboard">
    <w:name w:val="HTML Keyboard"/>
    <w:rsid w:val="00665DC6"/>
    <w:rPr>
      <w:rFonts w:ascii="Consolas" w:hAnsi="Consolas"/>
      <w:noProof w:val="0"/>
      <w:sz w:val="20"/>
      <w:szCs w:val="20"/>
    </w:rPr>
  </w:style>
  <w:style w:type="paragraph" w:styleId="CommentSubject">
    <w:name w:val="annotation subject"/>
    <w:basedOn w:val="CommentText"/>
    <w:next w:val="CommentText"/>
    <w:link w:val="a18"/>
    <w:rsid w:val="00665DC6"/>
    <w:rPr>
      <w:rFonts w:cs="David"/>
      <w:b/>
      <w:bCs/>
      <w:sz w:val="20"/>
      <w:szCs w:val="20"/>
    </w:rPr>
  </w:style>
  <w:style w:type="character" w:customStyle="1" w:styleId="a17">
    <w:name w:val="טקסט הערה תו"/>
    <w:link w:val="CommentText"/>
    <w:semiHidden/>
    <w:rsid w:val="00665DC6"/>
    <w:rPr>
      <w:noProof w:val="0"/>
      <w:sz w:val="24"/>
      <w:szCs w:val="24"/>
    </w:rPr>
  </w:style>
  <w:style w:type="character" w:customStyle="1" w:styleId="a18">
    <w:name w:val="נושא הערה תו"/>
    <w:link w:val="CommentSubject"/>
    <w:semiHidden/>
    <w:rsid w:val="00665DC6"/>
    <w:rPr>
      <w:rFonts w:cs="David"/>
      <w:b/>
      <w:bCs/>
      <w:noProof w:val="0"/>
      <w:sz w:val="24"/>
      <w:szCs w:val="24"/>
    </w:rPr>
  </w:style>
  <w:style w:type="table" w:styleId="TableTheme">
    <w:name w:val="Table Theme"/>
    <w:basedOn w:val="TableNormal"/>
    <w:rsid w:val="00665DC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a19"/>
    <w:rsid w:val="00665DC6"/>
    <w:pPr>
      <w:ind w:left="4252"/>
    </w:pPr>
  </w:style>
  <w:style w:type="character" w:customStyle="1" w:styleId="a19">
    <w:name w:val="סיום תו"/>
    <w:link w:val="Closing"/>
    <w:semiHidden/>
    <w:rsid w:val="00665DC6"/>
    <w:rPr>
      <w:rFonts w:cs="David"/>
      <w:noProof w:val="0"/>
      <w:sz w:val="24"/>
      <w:szCs w:val="24"/>
    </w:rPr>
  </w:style>
  <w:style w:type="table" w:styleId="TableColumns1">
    <w:name w:val="Table Columns 1"/>
    <w:basedOn w:val="TableNormal"/>
    <w:rsid w:val="00665DC6"/>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5DC6"/>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5DC6"/>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5DC6"/>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5DC6"/>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16">
    <w:name w:val="פיסקת רשימה1"/>
    <w:basedOn w:val="Normal"/>
    <w:uiPriority w:val="34"/>
    <w:qFormat/>
    <w:rsid w:val="00665DC6"/>
    <w:pPr>
      <w:ind w:left="720"/>
      <w:contextualSpacing/>
    </w:pPr>
  </w:style>
  <w:style w:type="paragraph" w:customStyle="1" w:styleId="117">
    <w:name w:val="ציטוט1"/>
    <w:basedOn w:val="Normal"/>
    <w:next w:val="Normal"/>
    <w:link w:val="QuoteChar"/>
    <w:uiPriority w:val="29"/>
    <w:qFormat/>
    <w:rsid w:val="00665DC6"/>
    <w:pPr>
      <w:spacing w:before="200" w:after="160"/>
      <w:ind w:left="864" w:right="864"/>
      <w:jc w:val="center"/>
    </w:pPr>
    <w:rPr>
      <w:i/>
      <w:iCs/>
      <w:color w:val="404040"/>
    </w:rPr>
  </w:style>
  <w:style w:type="character" w:customStyle="1" w:styleId="QuoteChar">
    <w:name w:val="Quote Char"/>
    <w:link w:val="117"/>
    <w:uiPriority w:val="29"/>
    <w:rsid w:val="00665DC6"/>
    <w:rPr>
      <w:rFonts w:cs="David"/>
      <w:i/>
      <w:iCs/>
      <w:noProof w:val="0"/>
      <w:color w:val="404040"/>
      <w:sz w:val="24"/>
      <w:szCs w:val="24"/>
    </w:rPr>
  </w:style>
  <w:style w:type="paragraph" w:customStyle="1" w:styleId="118">
    <w:name w:val="ציטוט חזק1"/>
    <w:basedOn w:val="Normal"/>
    <w:next w:val="Normal"/>
    <w:link w:val="IntenseQuoteChar"/>
    <w:uiPriority w:val="30"/>
    <w:qFormat/>
    <w:rsid w:val="00665DC6"/>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18"/>
    <w:uiPriority w:val="30"/>
    <w:rsid w:val="00665DC6"/>
    <w:rPr>
      <w:rFonts w:cs="David"/>
      <w:i/>
      <w:iCs/>
      <w:noProof w:val="0"/>
      <w:color w:val="4F81BD"/>
      <w:sz w:val="24"/>
      <w:szCs w:val="24"/>
    </w:rPr>
  </w:style>
  <w:style w:type="character" w:styleId="HTMLAcronym">
    <w:name w:val="HTML Acronym"/>
    <w:rsid w:val="00665DC6"/>
    <w:rPr>
      <w:noProof w:val="0"/>
    </w:rPr>
  </w:style>
  <w:style w:type="paragraph" w:styleId="List">
    <w:name w:val="List"/>
    <w:basedOn w:val="Normal"/>
    <w:rsid w:val="00665DC6"/>
    <w:pPr>
      <w:ind w:left="283" w:hanging="283"/>
      <w:contextualSpacing/>
    </w:pPr>
  </w:style>
  <w:style w:type="paragraph" w:styleId="List2">
    <w:name w:val="List 2"/>
    <w:basedOn w:val="Normal"/>
    <w:rsid w:val="00665DC6"/>
    <w:pPr>
      <w:ind w:left="566" w:hanging="283"/>
      <w:contextualSpacing/>
    </w:pPr>
  </w:style>
  <w:style w:type="paragraph" w:styleId="List3">
    <w:name w:val="List 3"/>
    <w:basedOn w:val="Normal"/>
    <w:rsid w:val="00665DC6"/>
    <w:pPr>
      <w:ind w:left="849" w:hanging="283"/>
      <w:contextualSpacing/>
    </w:pPr>
  </w:style>
  <w:style w:type="paragraph" w:styleId="List4">
    <w:name w:val="List 4"/>
    <w:basedOn w:val="Normal"/>
    <w:rsid w:val="00665DC6"/>
    <w:pPr>
      <w:ind w:left="1132" w:hanging="283"/>
      <w:contextualSpacing/>
    </w:pPr>
  </w:style>
  <w:style w:type="paragraph" w:styleId="List5">
    <w:name w:val="List 5"/>
    <w:basedOn w:val="Normal"/>
    <w:rsid w:val="00665DC6"/>
    <w:pPr>
      <w:ind w:left="1415" w:hanging="283"/>
      <w:contextualSpacing/>
    </w:pPr>
  </w:style>
  <w:style w:type="table" w:customStyle="1" w:styleId="119">
    <w:name w:val="רשימה בהירה1"/>
    <w:basedOn w:val="TableNormal"/>
    <w:uiPriority w:val="61"/>
    <w:semiHidden/>
    <w:unhideWhenUsed/>
    <w:rsid w:val="00665DC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TableNormal"/>
    <w:uiPriority w:val="61"/>
    <w:semiHidden/>
    <w:unhideWhenUsed/>
    <w:rsid w:val="00665D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TableNormal"/>
    <w:uiPriority w:val="61"/>
    <w:semiHidden/>
    <w:unhideWhenUsed/>
    <w:rsid w:val="00665DC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TableNormal"/>
    <w:uiPriority w:val="61"/>
    <w:semiHidden/>
    <w:unhideWhenUsed/>
    <w:rsid w:val="00665D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TableNormal"/>
    <w:uiPriority w:val="61"/>
    <w:semiHidden/>
    <w:unhideWhenUsed/>
    <w:rsid w:val="00665D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TableNormal"/>
    <w:uiPriority w:val="61"/>
    <w:semiHidden/>
    <w:unhideWhenUsed/>
    <w:rsid w:val="00665D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TableNormal"/>
    <w:uiPriority w:val="61"/>
    <w:semiHidden/>
    <w:unhideWhenUsed/>
    <w:rsid w:val="00665DC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ableList1">
    <w:name w:val="Table List 1"/>
    <w:basedOn w:val="TableNormal"/>
    <w:rsid w:val="00665DC6"/>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5DC6"/>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5DC6"/>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5DC6"/>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5DC6"/>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5DC6"/>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5DC6"/>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5DC6"/>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0">
    <w:name w:val="רשימה בינונית 11"/>
    <w:basedOn w:val="TableNormal"/>
    <w:uiPriority w:val="65"/>
    <w:semiHidden/>
    <w:unhideWhenUsed/>
    <w:rsid w:val="00665DC6"/>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TableNormal"/>
    <w:uiPriority w:val="65"/>
    <w:semiHidden/>
    <w:unhideWhenUsed/>
    <w:rsid w:val="00665DC6"/>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TableNormal"/>
    <w:uiPriority w:val="65"/>
    <w:semiHidden/>
    <w:unhideWhenUsed/>
    <w:rsid w:val="00665DC6"/>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TableNormal"/>
    <w:uiPriority w:val="65"/>
    <w:semiHidden/>
    <w:unhideWhenUsed/>
    <w:rsid w:val="00665DC6"/>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TableNormal"/>
    <w:uiPriority w:val="65"/>
    <w:semiHidden/>
    <w:unhideWhenUsed/>
    <w:rsid w:val="00665DC6"/>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TableNormal"/>
    <w:uiPriority w:val="65"/>
    <w:semiHidden/>
    <w:unhideWhenUsed/>
    <w:rsid w:val="00665DC6"/>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TableNormal"/>
    <w:uiPriority w:val="65"/>
    <w:semiHidden/>
    <w:unhideWhenUsed/>
    <w:rsid w:val="00665DC6"/>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רשימה בינונית 21"/>
    <w:basedOn w:val="TableNormal"/>
    <w:uiPriority w:val="66"/>
    <w:semiHidden/>
    <w:unhideWhenUsed/>
    <w:rsid w:val="00665DC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TableNormal"/>
    <w:uiPriority w:val="66"/>
    <w:semiHidden/>
    <w:unhideWhenUsed/>
    <w:rsid w:val="00665DC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TableNormal"/>
    <w:uiPriority w:val="66"/>
    <w:semiHidden/>
    <w:unhideWhenUsed/>
    <w:rsid w:val="00665DC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TableNormal"/>
    <w:uiPriority w:val="66"/>
    <w:semiHidden/>
    <w:unhideWhenUsed/>
    <w:rsid w:val="00665DC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TableNormal"/>
    <w:uiPriority w:val="66"/>
    <w:semiHidden/>
    <w:unhideWhenUsed/>
    <w:rsid w:val="00665DC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TableNormal"/>
    <w:uiPriority w:val="66"/>
    <w:semiHidden/>
    <w:unhideWhenUsed/>
    <w:rsid w:val="00665DC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TableNormal"/>
    <w:uiPriority w:val="66"/>
    <w:semiHidden/>
    <w:unhideWhenUsed/>
    <w:rsid w:val="00665DC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20">
    <w:name w:val="רשימה כהה1"/>
    <w:basedOn w:val="TableNormal"/>
    <w:uiPriority w:val="70"/>
    <w:semiHidden/>
    <w:unhideWhenUsed/>
    <w:rsid w:val="00665DC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TableNormal"/>
    <w:uiPriority w:val="70"/>
    <w:semiHidden/>
    <w:unhideWhenUsed/>
    <w:rsid w:val="00665DC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TableNormal"/>
    <w:uiPriority w:val="70"/>
    <w:semiHidden/>
    <w:unhideWhenUsed/>
    <w:rsid w:val="00665DC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TableNormal"/>
    <w:uiPriority w:val="70"/>
    <w:semiHidden/>
    <w:unhideWhenUsed/>
    <w:rsid w:val="00665DC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TableNormal"/>
    <w:uiPriority w:val="70"/>
    <w:semiHidden/>
    <w:unhideWhenUsed/>
    <w:rsid w:val="00665DC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TableNormal"/>
    <w:uiPriority w:val="70"/>
    <w:semiHidden/>
    <w:unhideWhenUsed/>
    <w:rsid w:val="00665DC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TableNormal"/>
    <w:uiPriority w:val="70"/>
    <w:semiHidden/>
    <w:unhideWhenUsed/>
    <w:rsid w:val="00665DC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ListNumber">
    <w:name w:val="List Number"/>
    <w:basedOn w:val="Normal"/>
    <w:rsid w:val="00665DC6"/>
    <w:pPr>
      <w:numPr>
        <w:numId w:val="1"/>
      </w:numPr>
      <w:contextualSpacing/>
    </w:pPr>
  </w:style>
  <w:style w:type="paragraph" w:styleId="ListNumber2">
    <w:name w:val="List Number 2"/>
    <w:basedOn w:val="Normal"/>
    <w:rsid w:val="00665DC6"/>
    <w:pPr>
      <w:numPr>
        <w:numId w:val="2"/>
      </w:numPr>
      <w:contextualSpacing/>
    </w:pPr>
  </w:style>
  <w:style w:type="paragraph" w:styleId="ListNumber3">
    <w:name w:val="List Number 3"/>
    <w:basedOn w:val="Normal"/>
    <w:rsid w:val="00665DC6"/>
    <w:pPr>
      <w:numPr>
        <w:numId w:val="3"/>
      </w:numPr>
      <w:contextualSpacing/>
    </w:pPr>
  </w:style>
  <w:style w:type="paragraph" w:styleId="ListNumber4">
    <w:name w:val="List Number 4"/>
    <w:basedOn w:val="Normal"/>
    <w:rsid w:val="00665DC6"/>
    <w:pPr>
      <w:numPr>
        <w:numId w:val="4"/>
      </w:numPr>
      <w:contextualSpacing/>
    </w:pPr>
  </w:style>
  <w:style w:type="paragraph" w:styleId="ListNumber5">
    <w:name w:val="List Number 5"/>
    <w:basedOn w:val="Normal"/>
    <w:rsid w:val="00665DC6"/>
    <w:pPr>
      <w:numPr>
        <w:numId w:val="5"/>
      </w:numPr>
      <w:contextualSpacing/>
    </w:pPr>
  </w:style>
  <w:style w:type="paragraph" w:styleId="ListBullet">
    <w:name w:val="List Bullet"/>
    <w:basedOn w:val="Normal"/>
    <w:rsid w:val="00665DC6"/>
    <w:pPr>
      <w:numPr>
        <w:numId w:val="6"/>
      </w:numPr>
      <w:contextualSpacing/>
    </w:pPr>
  </w:style>
  <w:style w:type="paragraph" w:styleId="ListBullet2">
    <w:name w:val="List Bullet 2"/>
    <w:basedOn w:val="Normal"/>
    <w:rsid w:val="00665DC6"/>
    <w:pPr>
      <w:numPr>
        <w:numId w:val="7"/>
      </w:numPr>
      <w:contextualSpacing/>
    </w:pPr>
  </w:style>
  <w:style w:type="paragraph" w:styleId="ListBullet3">
    <w:name w:val="List Bullet 3"/>
    <w:basedOn w:val="Normal"/>
    <w:rsid w:val="00665DC6"/>
    <w:pPr>
      <w:numPr>
        <w:numId w:val="8"/>
      </w:numPr>
      <w:contextualSpacing/>
    </w:pPr>
  </w:style>
  <w:style w:type="paragraph" w:styleId="ListBullet4">
    <w:name w:val="List Bullet 4"/>
    <w:basedOn w:val="Normal"/>
    <w:rsid w:val="00665DC6"/>
    <w:pPr>
      <w:numPr>
        <w:numId w:val="9"/>
      </w:numPr>
      <w:contextualSpacing/>
    </w:pPr>
  </w:style>
  <w:style w:type="paragraph" w:styleId="ListBullet5">
    <w:name w:val="List Bullet 5"/>
    <w:basedOn w:val="Normal"/>
    <w:rsid w:val="00665DC6"/>
    <w:pPr>
      <w:numPr>
        <w:numId w:val="10"/>
      </w:numPr>
      <w:contextualSpacing/>
    </w:pPr>
  </w:style>
  <w:style w:type="table" w:customStyle="1" w:styleId="121">
    <w:name w:val="רשימה צבעונית1"/>
    <w:basedOn w:val="TableNormal"/>
    <w:uiPriority w:val="72"/>
    <w:semiHidden/>
    <w:unhideWhenUsed/>
    <w:rsid w:val="00665DC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TableNormal"/>
    <w:uiPriority w:val="72"/>
    <w:semiHidden/>
    <w:unhideWhenUsed/>
    <w:rsid w:val="00665DC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TableNormal"/>
    <w:uiPriority w:val="72"/>
    <w:semiHidden/>
    <w:unhideWhenUsed/>
    <w:rsid w:val="00665DC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TableNormal"/>
    <w:uiPriority w:val="72"/>
    <w:semiHidden/>
    <w:unhideWhenUsed/>
    <w:rsid w:val="00665DC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TableNormal"/>
    <w:uiPriority w:val="72"/>
    <w:semiHidden/>
    <w:unhideWhenUsed/>
    <w:rsid w:val="00665DC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TableNormal"/>
    <w:uiPriority w:val="72"/>
    <w:semiHidden/>
    <w:unhideWhenUsed/>
    <w:rsid w:val="00665DC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TableNormal"/>
    <w:uiPriority w:val="72"/>
    <w:semiHidden/>
    <w:unhideWhenUsed/>
    <w:rsid w:val="00665DC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TableofFigures">
    <w:name w:val="table of figures"/>
    <w:basedOn w:val="Normal"/>
    <w:next w:val="Normal"/>
    <w:rsid w:val="00665DC6"/>
  </w:style>
  <w:style w:type="paragraph" w:styleId="TableofAuthorities">
    <w:name w:val="table of authorities"/>
    <w:basedOn w:val="Normal"/>
    <w:next w:val="Normal"/>
    <w:rsid w:val="00665DC6"/>
    <w:pPr>
      <w:ind w:left="240" w:hanging="240"/>
    </w:pPr>
  </w:style>
  <w:style w:type="table" w:customStyle="1" w:styleId="122">
    <w:name w:val="רשת בהירה1"/>
    <w:basedOn w:val="TableNormal"/>
    <w:uiPriority w:val="62"/>
    <w:semiHidden/>
    <w:unhideWhenUsed/>
    <w:rsid w:val="00665DC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TableNormal"/>
    <w:uiPriority w:val="62"/>
    <w:semiHidden/>
    <w:unhideWhenUsed/>
    <w:rsid w:val="00665DC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TableNormal"/>
    <w:uiPriority w:val="62"/>
    <w:semiHidden/>
    <w:unhideWhenUsed/>
    <w:rsid w:val="00665DC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TableNormal"/>
    <w:uiPriority w:val="62"/>
    <w:semiHidden/>
    <w:unhideWhenUsed/>
    <w:rsid w:val="00665DC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TableNormal"/>
    <w:uiPriority w:val="62"/>
    <w:semiHidden/>
    <w:unhideWhenUsed/>
    <w:rsid w:val="00665DC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TableNormal"/>
    <w:uiPriority w:val="62"/>
    <w:semiHidden/>
    <w:unhideWhenUsed/>
    <w:rsid w:val="00665DC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TableNormal"/>
    <w:uiPriority w:val="62"/>
    <w:semiHidden/>
    <w:unhideWhenUsed/>
    <w:rsid w:val="00665DC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TableNormal"/>
    <w:uiPriority w:val="67"/>
    <w:semiHidden/>
    <w:unhideWhenUsed/>
    <w:rsid w:val="00665D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11">
    <w:name w:val="רשת בינונית 11"/>
    <w:basedOn w:val="TableNormal"/>
    <w:uiPriority w:val="67"/>
    <w:semiHidden/>
    <w:unhideWhenUsed/>
    <w:rsid w:val="00665DC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TableNormal"/>
    <w:uiPriority w:val="67"/>
    <w:semiHidden/>
    <w:unhideWhenUsed/>
    <w:rsid w:val="00665DC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TableNormal"/>
    <w:uiPriority w:val="67"/>
    <w:semiHidden/>
    <w:unhideWhenUsed/>
    <w:rsid w:val="00665DC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TableNormal"/>
    <w:uiPriority w:val="67"/>
    <w:semiHidden/>
    <w:unhideWhenUsed/>
    <w:rsid w:val="00665DC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TableNormal"/>
    <w:uiPriority w:val="67"/>
    <w:semiHidden/>
    <w:unhideWhenUsed/>
    <w:rsid w:val="00665DC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TableNormal"/>
    <w:uiPriority w:val="67"/>
    <w:semiHidden/>
    <w:unhideWhenUsed/>
    <w:rsid w:val="00665DC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רשת בינונית 21"/>
    <w:basedOn w:val="TableNormal"/>
    <w:uiPriority w:val="68"/>
    <w:semiHidden/>
    <w:unhideWhenUsed/>
    <w:rsid w:val="00665DC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TableNormal"/>
    <w:uiPriority w:val="68"/>
    <w:semiHidden/>
    <w:unhideWhenUsed/>
    <w:rsid w:val="00665DC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TableNormal"/>
    <w:uiPriority w:val="68"/>
    <w:semiHidden/>
    <w:unhideWhenUsed/>
    <w:rsid w:val="00665DC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TableNormal"/>
    <w:uiPriority w:val="68"/>
    <w:semiHidden/>
    <w:unhideWhenUsed/>
    <w:rsid w:val="00665DC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TableNormal"/>
    <w:uiPriority w:val="68"/>
    <w:semiHidden/>
    <w:unhideWhenUsed/>
    <w:rsid w:val="00665DC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TableNormal"/>
    <w:uiPriority w:val="68"/>
    <w:semiHidden/>
    <w:unhideWhenUsed/>
    <w:rsid w:val="00665DC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TableNormal"/>
    <w:uiPriority w:val="68"/>
    <w:semiHidden/>
    <w:unhideWhenUsed/>
    <w:rsid w:val="00665DC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2">
    <w:name w:val="רשת בינונית 31"/>
    <w:basedOn w:val="TableNormal"/>
    <w:uiPriority w:val="69"/>
    <w:semiHidden/>
    <w:unhideWhenUsed/>
    <w:rsid w:val="00665D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TableNormal"/>
    <w:uiPriority w:val="69"/>
    <w:semiHidden/>
    <w:unhideWhenUsed/>
    <w:rsid w:val="00665D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TableNormal"/>
    <w:uiPriority w:val="69"/>
    <w:semiHidden/>
    <w:unhideWhenUsed/>
    <w:rsid w:val="00665D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TableNormal"/>
    <w:uiPriority w:val="69"/>
    <w:semiHidden/>
    <w:unhideWhenUsed/>
    <w:rsid w:val="00665D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TableNormal"/>
    <w:uiPriority w:val="69"/>
    <w:semiHidden/>
    <w:unhideWhenUsed/>
    <w:rsid w:val="00665D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TableNormal"/>
    <w:uiPriority w:val="69"/>
    <w:semiHidden/>
    <w:unhideWhenUsed/>
    <w:rsid w:val="00665D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TableNormal"/>
    <w:uiPriority w:val="69"/>
    <w:semiHidden/>
    <w:unhideWhenUsed/>
    <w:rsid w:val="00665D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1">
    <w:name w:val="Table Grid 1"/>
    <w:basedOn w:val="TableNormal"/>
    <w:rsid w:val="00665DC6"/>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5DC6"/>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5DC6"/>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5DC6"/>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5DC6"/>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5DC6"/>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5DC6"/>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5DC6"/>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TableNormal"/>
    <w:uiPriority w:val="40"/>
    <w:rsid w:val="00665D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רשת צבעונית1"/>
    <w:basedOn w:val="TableNormal"/>
    <w:uiPriority w:val="73"/>
    <w:semiHidden/>
    <w:unhideWhenUsed/>
    <w:rsid w:val="00665DC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TableNormal"/>
    <w:uiPriority w:val="73"/>
    <w:semiHidden/>
    <w:unhideWhenUsed/>
    <w:rsid w:val="00665DC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TableNormal"/>
    <w:uiPriority w:val="73"/>
    <w:semiHidden/>
    <w:unhideWhenUsed/>
    <w:rsid w:val="00665DC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TableNormal"/>
    <w:uiPriority w:val="73"/>
    <w:semiHidden/>
    <w:unhideWhenUsed/>
    <w:rsid w:val="00665DC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TableNormal"/>
    <w:uiPriority w:val="73"/>
    <w:semiHidden/>
    <w:unhideWhenUsed/>
    <w:rsid w:val="00665DC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TableNormal"/>
    <w:uiPriority w:val="73"/>
    <w:semiHidden/>
    <w:unhideWhenUsed/>
    <w:rsid w:val="00665DC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TableNormal"/>
    <w:uiPriority w:val="73"/>
    <w:semiHidden/>
    <w:unhideWhenUsed/>
    <w:rsid w:val="00665DC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Date">
    <w:name w:val="Date"/>
    <w:basedOn w:val="Normal"/>
    <w:next w:val="Normal"/>
    <w:link w:val="a20"/>
    <w:rsid w:val="00665DC6"/>
  </w:style>
  <w:style w:type="character" w:customStyle="1" w:styleId="a20">
    <w:name w:val="תאריך תו"/>
    <w:link w:val="Date"/>
    <w:rsid w:val="00665DC6"/>
    <w:rPr>
      <w:rFonts w:cs="David"/>
      <w:noProof w:val="0"/>
      <w:sz w:val="24"/>
      <w:szCs w:val="24"/>
    </w:rPr>
  </w:style>
  <w:style w:type="paragraph" w:customStyle="1" w:styleId="Ruller4">
    <w:name w:val="Ruller4"/>
    <w:basedOn w:val="Normal"/>
    <w:rsid w:val="00E00D0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40">
    <w:name w:val="Ruller 4 ממוספר"/>
    <w:basedOn w:val="Ruller4"/>
    <w:next w:val="Ruller4"/>
    <w:rsid w:val="00E00D06"/>
    <w:pPr>
      <w:numPr>
        <w:numId w:val="11"/>
      </w:numPr>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evo.co.il/law/74985" TargetMode="External" /><Relationship Id="rId11" Type="http://schemas.openxmlformats.org/officeDocument/2006/relationships/hyperlink" Target="http://www.nevo.co.il/law/4668" TargetMode="External" /><Relationship Id="rId12" Type="http://schemas.openxmlformats.org/officeDocument/2006/relationships/hyperlink" Target="http://www.nevo.co.il/case/28400046" TargetMode="External" /><Relationship Id="rId13" Type="http://schemas.openxmlformats.org/officeDocument/2006/relationships/hyperlink" Target="http://www.nevo.co.il/case/27351136" TargetMode="External" /><Relationship Id="rId14" Type="http://schemas.openxmlformats.org/officeDocument/2006/relationships/hyperlink" Target="http://www.nevo.co.il/law/4668/181" TargetMode="External" /><Relationship Id="rId15" Type="http://schemas.openxmlformats.org/officeDocument/2006/relationships/hyperlink" Target="http://www.nevo.co.il/case/25051048" TargetMode="External" /><Relationship Id="rId16" Type="http://schemas.openxmlformats.org/officeDocument/2006/relationships/hyperlink" Target="http://www.nevo.co.il/case/29855408" TargetMode="External" /><Relationship Id="rId17" Type="http://schemas.openxmlformats.org/officeDocument/2006/relationships/hyperlink" Target="http://www.nevo.co.il/case/23007222"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nevo.co.il/case/4448287" TargetMode="External" /><Relationship Id="rId5" Type="http://schemas.openxmlformats.org/officeDocument/2006/relationships/hyperlink" Target="http://www.nevo.co.il/case/34481692" TargetMode="External" /><Relationship Id="rId6" Type="http://schemas.openxmlformats.org/officeDocument/2006/relationships/hyperlink" Target="http://www.nevo.co.il/case/33718985" TargetMode="External" /><Relationship Id="rId7" Type="http://schemas.openxmlformats.org/officeDocument/2006/relationships/hyperlink" Target="http://www.nevo.co.il/case/21473758" TargetMode="External" /><Relationship Id="rId8" Type="http://schemas.openxmlformats.org/officeDocument/2006/relationships/hyperlink" Target="http://www.nevo.co.il/case/27745060" TargetMode="External" /><Relationship Id="rId9" Type="http://schemas.openxmlformats.org/officeDocument/2006/relationships/hyperlink" Target="http://www.nevo.co.il/case/24295916"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