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jc w:val="center"/>
        <w:tblLook w:val="0000" w:firstRow="0" w:lastRow="0" w:firstColumn="0" w:lastColumn="0" w:noHBand="0" w:noVBand="0"/>
      </w:tblPr>
      <w:tblGrid>
        <w:gridCol w:w="4808"/>
        <w:gridCol w:w="3499"/>
      </w:tblGrid>
      <w:tr w:rsidR="00AC5D5E" w14:paraId="7BA7BD28" w14:textId="77777777" w:rsidTr="001C0226">
        <w:trPr>
          <w:trHeight w:hRule="exact" w:val="670"/>
          <w:jc w:val="center"/>
        </w:trPr>
        <w:tc>
          <w:tcPr>
            <w:tcW w:w="8523" w:type="dxa"/>
            <w:gridSpan w:val="2"/>
          </w:tcPr>
          <w:p w14:paraId="2FE191EB" w14:textId="77777777" w:rsidR="00B32DE4" w:rsidRPr="00AC686A" w:rsidRDefault="00000000" w:rsidP="007F4FB3">
            <w:pPr>
              <w:pStyle w:val="a3"/>
              <w:jc w:val="center"/>
              <w:rPr>
                <w:rFonts w:ascii="Tahoma" w:hAnsi="Tahoma" w:cs="Tahoma"/>
                <w:noProof w:val="0"/>
                <w:color w:val="000080"/>
                <w:sz w:val="22"/>
                <w:szCs w:val="22"/>
                <w:rtl/>
              </w:rPr>
            </w:pPr>
            <w:bookmarkStart w:id="0" w:name="LastJudge"/>
            <w:r w:rsidRPr="00AC686A">
              <w:rPr>
                <w:rFonts w:ascii="Tahoma" w:hAnsi="Tahoma" w:cs="Tahoma"/>
                <w:b/>
                <w:bCs/>
                <w:noProof w:val="0"/>
                <w:color w:val="000080"/>
                <w:sz w:val="22"/>
                <w:szCs w:val="22"/>
                <w:rtl/>
              </w:rPr>
              <w:t>בית המשפט המחוזי בתל אביב -יפו</w:t>
            </w:r>
          </w:p>
        </w:tc>
      </w:tr>
      <w:tr w:rsidR="00AC5D5E" w14:paraId="6D63BFE3" w14:textId="77777777" w:rsidTr="001C0226">
        <w:trPr>
          <w:trHeight w:val="337"/>
          <w:jc w:val="center"/>
        </w:trPr>
        <w:tc>
          <w:tcPr>
            <w:tcW w:w="4932" w:type="dxa"/>
          </w:tcPr>
          <w:p w14:paraId="6D10B119" w14:textId="77777777" w:rsidR="00B32DE4" w:rsidRPr="00E56EF1" w:rsidRDefault="00B32DE4" w:rsidP="007F4FB3">
            <w:pPr>
              <w:rPr>
                <w:b/>
                <w:bCs/>
                <w:noProof w:val="0"/>
                <w:sz w:val="26"/>
                <w:szCs w:val="26"/>
                <w:rtl/>
              </w:rPr>
            </w:pPr>
          </w:p>
        </w:tc>
        <w:tc>
          <w:tcPr>
            <w:tcW w:w="3591" w:type="dxa"/>
          </w:tcPr>
          <w:p w14:paraId="3466F8CE" w14:textId="77777777" w:rsidR="00B32DE4" w:rsidRPr="00E56EF1" w:rsidRDefault="00B32DE4" w:rsidP="007F4FB3">
            <w:pPr>
              <w:pStyle w:val="a3"/>
              <w:jc w:val="right"/>
              <w:rPr>
                <w:b/>
                <w:bCs/>
                <w:noProof w:val="0"/>
                <w:sz w:val="26"/>
                <w:szCs w:val="26"/>
                <w:rtl/>
              </w:rPr>
            </w:pPr>
          </w:p>
        </w:tc>
      </w:tr>
      <w:tr w:rsidR="00AC5D5E" w14:paraId="7EB97658" w14:textId="77777777" w:rsidTr="001C0226">
        <w:trPr>
          <w:trHeight w:val="337"/>
          <w:jc w:val="center"/>
        </w:trPr>
        <w:tc>
          <w:tcPr>
            <w:tcW w:w="8523" w:type="dxa"/>
            <w:gridSpan w:val="2"/>
          </w:tcPr>
          <w:p w14:paraId="26C56B7E" w14:textId="77777777" w:rsidR="00B32DE4" w:rsidRPr="00E56EF1" w:rsidRDefault="00000000" w:rsidP="00AC686A">
            <w:pPr>
              <w:rPr>
                <w:b/>
                <w:bCs/>
                <w:noProof w:val="0"/>
                <w:sz w:val="26"/>
                <w:szCs w:val="26"/>
                <w:rtl/>
              </w:rPr>
            </w:pPr>
            <w:r w:rsidRPr="00E56EF1">
              <w:rPr>
                <w:b/>
                <w:bCs/>
                <w:noProof w:val="0"/>
                <w:sz w:val="26"/>
                <w:szCs w:val="26"/>
                <w:rtl/>
              </w:rPr>
              <w:t>עפמ"</w:t>
            </w:r>
            <w:r w:rsidR="00AC686A">
              <w:rPr>
                <w:b/>
                <w:bCs/>
                <w:noProof w:val="0"/>
                <w:sz w:val="26"/>
                <w:szCs w:val="26"/>
                <w:rtl/>
              </w:rPr>
              <w:t>ק 2235-07-25 סטר נ' מדינת ישראל</w:t>
            </w:r>
            <w:r w:rsidRPr="00E56EF1">
              <w:rPr>
                <w:rFonts w:hint="cs"/>
                <w:b/>
                <w:bCs/>
                <w:noProof w:val="0"/>
                <w:sz w:val="26"/>
                <w:szCs w:val="26"/>
                <w:rtl/>
              </w:rPr>
              <w:t xml:space="preserve"> </w:t>
            </w:r>
          </w:p>
        </w:tc>
      </w:tr>
    </w:tbl>
    <w:p w14:paraId="2BFE094D" w14:textId="77777777" w:rsidR="00B32DE4" w:rsidRPr="00E56EF1" w:rsidRDefault="00B32DE4" w:rsidP="00B32DE4">
      <w:pPr>
        <w:suppressLineNumbers/>
        <w:rPr>
          <w:sz w:val="26"/>
          <w:szCs w:val="26"/>
          <w:rtl/>
        </w:rPr>
      </w:pPr>
    </w:p>
    <w:tbl>
      <w:tblPr>
        <w:bidiVisual/>
        <w:tblW w:w="8820" w:type="dxa"/>
        <w:jc w:val="center"/>
        <w:tblLook w:val="01E0" w:firstRow="1" w:lastRow="1" w:firstColumn="1" w:lastColumn="1" w:noHBand="0" w:noVBand="0"/>
      </w:tblPr>
      <w:tblGrid>
        <w:gridCol w:w="743"/>
        <w:gridCol w:w="2506"/>
        <w:gridCol w:w="5571"/>
      </w:tblGrid>
      <w:tr w:rsidR="00AC5D5E" w14:paraId="15B3860B" w14:textId="77777777" w:rsidTr="00B32DE4">
        <w:trPr>
          <w:jc w:val="center"/>
        </w:trPr>
        <w:tc>
          <w:tcPr>
            <w:tcW w:w="743" w:type="dxa"/>
          </w:tcPr>
          <w:p w14:paraId="4BB7A836" w14:textId="77777777" w:rsidR="00B32DE4" w:rsidRPr="00AC686A" w:rsidRDefault="00000000" w:rsidP="00B32DE4">
            <w:pPr>
              <w:jc w:val="both"/>
              <w:rPr>
                <w:rFonts w:ascii="Arial (W1)" w:hAnsi="Arial (W1)"/>
                <w:b/>
                <w:bCs/>
                <w:sz w:val="26"/>
                <w:szCs w:val="26"/>
              </w:rPr>
            </w:pPr>
            <w:r w:rsidRPr="00AC686A">
              <w:rPr>
                <w:rFonts w:hint="cs"/>
                <w:b/>
                <w:bCs/>
                <w:sz w:val="26"/>
                <w:szCs w:val="26"/>
                <w:rtl/>
              </w:rPr>
              <w:t xml:space="preserve">לפני </w:t>
            </w:r>
          </w:p>
        </w:tc>
        <w:tc>
          <w:tcPr>
            <w:tcW w:w="8077" w:type="dxa"/>
            <w:gridSpan w:val="2"/>
          </w:tcPr>
          <w:p w14:paraId="5FBD0644" w14:textId="77777777" w:rsidR="00B32DE4" w:rsidRPr="00AC686A" w:rsidRDefault="00000000" w:rsidP="007F4FB3">
            <w:pPr>
              <w:rPr>
                <w:rFonts w:ascii="Arial" w:hAnsi="Arial"/>
                <w:b/>
                <w:bCs/>
                <w:sz w:val="26"/>
                <w:szCs w:val="26"/>
                <w:rtl/>
              </w:rPr>
            </w:pPr>
            <w:r w:rsidRPr="00AC686A">
              <w:rPr>
                <w:rFonts w:ascii="Arial" w:hAnsi="Arial" w:hint="cs"/>
                <w:b/>
                <w:bCs/>
                <w:sz w:val="26"/>
                <w:szCs w:val="26"/>
                <w:rtl/>
              </w:rPr>
              <w:t>כבוד ה</w:t>
            </w:r>
            <w:r w:rsidRPr="00AC686A">
              <w:rPr>
                <w:rFonts w:ascii="Arial" w:hAnsi="Arial"/>
                <w:b/>
                <w:bCs/>
                <w:sz w:val="26"/>
                <w:szCs w:val="26"/>
                <w:rtl/>
              </w:rPr>
              <w:t>שופטת</w:t>
            </w:r>
            <w:r w:rsidRPr="00AC686A">
              <w:rPr>
                <w:rFonts w:ascii="Arial" w:hAnsi="Arial" w:hint="cs"/>
                <w:b/>
                <w:bCs/>
                <w:sz w:val="26"/>
                <w:szCs w:val="26"/>
                <w:rtl/>
              </w:rPr>
              <w:t xml:space="preserve">  </w:t>
            </w:r>
            <w:bookmarkStart w:id="1" w:name="_Hlk212108334"/>
            <w:r w:rsidRPr="00AC686A">
              <w:rPr>
                <w:rFonts w:ascii="Arial" w:hAnsi="Arial"/>
                <w:b/>
                <w:bCs/>
                <w:sz w:val="26"/>
                <w:szCs w:val="26"/>
                <w:rtl/>
              </w:rPr>
              <w:t>נעה תבור</w:t>
            </w:r>
            <w:bookmarkEnd w:id="1"/>
          </w:p>
          <w:p w14:paraId="71A6590F" w14:textId="77777777" w:rsidR="00B32DE4" w:rsidRPr="00AC686A" w:rsidRDefault="00B32DE4" w:rsidP="007F4FB3">
            <w:pPr>
              <w:rPr>
                <w:b/>
                <w:bCs/>
                <w:sz w:val="26"/>
                <w:szCs w:val="26"/>
              </w:rPr>
            </w:pPr>
          </w:p>
        </w:tc>
      </w:tr>
      <w:tr w:rsidR="00AC5D5E" w14:paraId="4118DE6F" w14:textId="77777777" w:rsidTr="00B32DE4">
        <w:trPr>
          <w:jc w:val="center"/>
        </w:trPr>
        <w:tc>
          <w:tcPr>
            <w:tcW w:w="3249" w:type="dxa"/>
            <w:gridSpan w:val="2"/>
          </w:tcPr>
          <w:p w14:paraId="232A158F" w14:textId="77777777" w:rsidR="00B32DE4" w:rsidRPr="00AC686A" w:rsidRDefault="00B32DE4" w:rsidP="00B32DE4">
            <w:pPr>
              <w:bidi w:val="0"/>
              <w:rPr>
                <w:rFonts w:ascii="Arial (W1)" w:hAnsi="Arial (W1)"/>
                <w:b/>
                <w:bCs/>
                <w:noProof w:val="0"/>
                <w:sz w:val="26"/>
                <w:szCs w:val="26"/>
                <w:rtl/>
              </w:rPr>
            </w:pPr>
            <w:bookmarkStart w:id="2" w:name="FirstAppellant"/>
          </w:p>
          <w:p w14:paraId="2089E651" w14:textId="77777777" w:rsidR="00B32DE4" w:rsidRPr="00AC686A" w:rsidRDefault="00000000" w:rsidP="007F4FB3">
            <w:pPr>
              <w:rPr>
                <w:rFonts w:ascii="Arial (W1)" w:hAnsi="Arial (W1)"/>
                <w:b/>
                <w:bCs/>
                <w:noProof w:val="0"/>
                <w:sz w:val="26"/>
                <w:szCs w:val="26"/>
              </w:rPr>
            </w:pPr>
            <w:r w:rsidRPr="00AC686A">
              <w:rPr>
                <w:rFonts w:hint="cs"/>
                <w:b/>
                <w:bCs/>
                <w:noProof w:val="0"/>
                <w:sz w:val="26"/>
                <w:szCs w:val="26"/>
                <w:rtl/>
              </w:rPr>
              <w:t>מערער</w:t>
            </w:r>
          </w:p>
        </w:tc>
        <w:tc>
          <w:tcPr>
            <w:tcW w:w="5571" w:type="dxa"/>
          </w:tcPr>
          <w:p w14:paraId="65558352" w14:textId="77777777" w:rsidR="00B32DE4" w:rsidRPr="00AC686A" w:rsidRDefault="00B32DE4" w:rsidP="007F4FB3">
            <w:pPr>
              <w:rPr>
                <w:rFonts w:ascii="Arial (W1)" w:hAnsi="Arial (W1)"/>
                <w:b/>
                <w:bCs/>
                <w:noProof w:val="0"/>
                <w:sz w:val="26"/>
                <w:szCs w:val="26"/>
                <w:rtl/>
              </w:rPr>
            </w:pPr>
          </w:p>
          <w:p w14:paraId="1C9BCF16" w14:textId="77777777" w:rsidR="00B32DE4" w:rsidRPr="00AC686A" w:rsidRDefault="00000000" w:rsidP="007F4FB3">
            <w:pPr>
              <w:rPr>
                <w:b/>
                <w:bCs/>
                <w:sz w:val="26"/>
                <w:szCs w:val="26"/>
                <w:rtl/>
              </w:rPr>
            </w:pPr>
            <w:r w:rsidRPr="00AC686A">
              <w:rPr>
                <w:rFonts w:hint="cs"/>
                <w:b/>
                <w:bCs/>
                <w:noProof w:val="0"/>
                <w:sz w:val="26"/>
                <w:szCs w:val="26"/>
                <w:rtl/>
              </w:rPr>
              <w:t>אופיר סטר</w:t>
            </w:r>
          </w:p>
          <w:p w14:paraId="206440DB" w14:textId="77777777" w:rsidR="00B32DE4" w:rsidRPr="00AC686A" w:rsidRDefault="00000000" w:rsidP="007F4FB3">
            <w:pPr>
              <w:rPr>
                <w:rFonts w:ascii="Arial (W1)" w:hAnsi="Arial (W1)"/>
                <w:b/>
                <w:bCs/>
                <w:noProof w:val="0"/>
                <w:sz w:val="26"/>
                <w:szCs w:val="26"/>
              </w:rPr>
            </w:pPr>
            <w:r w:rsidRPr="00AC686A">
              <w:rPr>
                <w:rFonts w:hint="cs"/>
                <w:b/>
                <w:bCs/>
                <w:sz w:val="26"/>
                <w:szCs w:val="26"/>
                <w:rtl/>
              </w:rPr>
              <w:t>בעצמו</w:t>
            </w:r>
          </w:p>
        </w:tc>
      </w:tr>
      <w:bookmarkEnd w:id="2"/>
      <w:tr w:rsidR="00AC5D5E" w14:paraId="0170FC37" w14:textId="77777777" w:rsidTr="00B32DE4">
        <w:trPr>
          <w:jc w:val="center"/>
        </w:trPr>
        <w:tc>
          <w:tcPr>
            <w:tcW w:w="8820" w:type="dxa"/>
            <w:gridSpan w:val="3"/>
          </w:tcPr>
          <w:p w14:paraId="721A3019" w14:textId="77777777" w:rsidR="00B32DE4" w:rsidRPr="00AC686A" w:rsidRDefault="00B32DE4" w:rsidP="007F4FB3">
            <w:pPr>
              <w:rPr>
                <w:rFonts w:ascii="Arial (W1)" w:hAnsi="Arial (W1)"/>
                <w:b/>
                <w:bCs/>
                <w:noProof w:val="0"/>
                <w:sz w:val="26"/>
                <w:szCs w:val="26"/>
                <w:rtl/>
              </w:rPr>
            </w:pPr>
          </w:p>
          <w:p w14:paraId="71B41EDF" w14:textId="77777777" w:rsidR="00B32DE4" w:rsidRPr="00AC686A" w:rsidRDefault="00000000" w:rsidP="00B32DE4">
            <w:pPr>
              <w:jc w:val="center"/>
              <w:rPr>
                <w:b/>
                <w:bCs/>
                <w:noProof w:val="0"/>
                <w:sz w:val="26"/>
                <w:szCs w:val="26"/>
                <w:rtl/>
              </w:rPr>
            </w:pPr>
            <w:r w:rsidRPr="00AC686A">
              <w:rPr>
                <w:rFonts w:hint="cs"/>
                <w:b/>
                <w:bCs/>
                <w:noProof w:val="0"/>
                <w:sz w:val="26"/>
                <w:szCs w:val="26"/>
                <w:rtl/>
              </w:rPr>
              <w:t>נגד</w:t>
            </w:r>
          </w:p>
          <w:p w14:paraId="26115184" w14:textId="77777777" w:rsidR="00B32DE4" w:rsidRPr="00AC686A" w:rsidRDefault="00B32DE4" w:rsidP="007F4FB3">
            <w:pPr>
              <w:rPr>
                <w:rFonts w:ascii="Arial (W1)" w:hAnsi="Arial (W1)"/>
                <w:b/>
                <w:bCs/>
                <w:noProof w:val="0"/>
                <w:sz w:val="26"/>
                <w:szCs w:val="26"/>
              </w:rPr>
            </w:pPr>
          </w:p>
        </w:tc>
      </w:tr>
      <w:tr w:rsidR="00AC5D5E" w14:paraId="5BDB32C9" w14:textId="77777777" w:rsidTr="00B32DE4">
        <w:trPr>
          <w:jc w:val="center"/>
        </w:trPr>
        <w:tc>
          <w:tcPr>
            <w:tcW w:w="3249" w:type="dxa"/>
            <w:gridSpan w:val="2"/>
          </w:tcPr>
          <w:p w14:paraId="6688737D" w14:textId="77777777" w:rsidR="00B32DE4" w:rsidRPr="00AC686A" w:rsidRDefault="00B32DE4" w:rsidP="007F4FB3">
            <w:pPr>
              <w:rPr>
                <w:rFonts w:ascii="Arial (W1)" w:hAnsi="Arial (W1)"/>
                <w:b/>
                <w:bCs/>
                <w:noProof w:val="0"/>
                <w:sz w:val="26"/>
                <w:szCs w:val="26"/>
                <w:rtl/>
              </w:rPr>
            </w:pPr>
            <w:bookmarkStart w:id="3" w:name="FirstLawyer"/>
          </w:p>
          <w:p w14:paraId="1BC37461" w14:textId="77777777" w:rsidR="00B32DE4" w:rsidRPr="00AC686A" w:rsidRDefault="00000000" w:rsidP="007F4FB3">
            <w:pPr>
              <w:rPr>
                <w:rFonts w:ascii="Arial (W1)" w:hAnsi="Arial (W1)"/>
                <w:b/>
                <w:bCs/>
                <w:noProof w:val="0"/>
                <w:sz w:val="26"/>
                <w:szCs w:val="26"/>
              </w:rPr>
            </w:pPr>
            <w:r w:rsidRPr="00AC686A">
              <w:rPr>
                <w:rFonts w:hint="cs"/>
                <w:b/>
                <w:bCs/>
                <w:noProof w:val="0"/>
                <w:sz w:val="26"/>
                <w:szCs w:val="26"/>
                <w:rtl/>
              </w:rPr>
              <w:t>משיבה</w:t>
            </w:r>
          </w:p>
        </w:tc>
        <w:tc>
          <w:tcPr>
            <w:tcW w:w="5571" w:type="dxa"/>
          </w:tcPr>
          <w:p w14:paraId="345476BE" w14:textId="77777777" w:rsidR="00B32DE4" w:rsidRPr="00AC686A" w:rsidRDefault="00B32DE4" w:rsidP="007F4FB3">
            <w:pPr>
              <w:rPr>
                <w:rFonts w:ascii="Arial (W1)" w:hAnsi="Arial (W1)"/>
                <w:b/>
                <w:bCs/>
                <w:noProof w:val="0"/>
                <w:sz w:val="26"/>
                <w:szCs w:val="26"/>
                <w:rtl/>
              </w:rPr>
            </w:pPr>
          </w:p>
          <w:p w14:paraId="275C3822" w14:textId="77777777" w:rsidR="00B32DE4" w:rsidRPr="00AC686A" w:rsidRDefault="00000000" w:rsidP="007F4FB3">
            <w:pPr>
              <w:rPr>
                <w:b/>
                <w:bCs/>
                <w:sz w:val="26"/>
                <w:szCs w:val="26"/>
                <w:rtl/>
              </w:rPr>
            </w:pPr>
            <w:r w:rsidRPr="00AC686A">
              <w:rPr>
                <w:rFonts w:hint="cs"/>
                <w:b/>
                <w:bCs/>
                <w:noProof w:val="0"/>
                <w:sz w:val="26"/>
                <w:szCs w:val="26"/>
                <w:rtl/>
              </w:rPr>
              <w:t>עיריית תל אביב-יפו</w:t>
            </w:r>
          </w:p>
          <w:p w14:paraId="17E2336A" w14:textId="77777777" w:rsidR="00B32DE4" w:rsidRPr="00AC686A" w:rsidRDefault="00000000" w:rsidP="007F4FB3">
            <w:pPr>
              <w:rPr>
                <w:rFonts w:ascii="Arial (W1)" w:hAnsi="Arial (W1)"/>
                <w:b/>
                <w:bCs/>
                <w:noProof w:val="0"/>
                <w:sz w:val="26"/>
                <w:szCs w:val="26"/>
              </w:rPr>
            </w:pPr>
            <w:r w:rsidRPr="00AC686A">
              <w:rPr>
                <w:rFonts w:hint="cs"/>
                <w:b/>
                <w:bCs/>
                <w:sz w:val="26"/>
                <w:szCs w:val="26"/>
                <w:rtl/>
              </w:rPr>
              <w:t>ע"י ב"כ עו"ד נעמה בנצקי ועו"ד ענת סגל</w:t>
            </w:r>
          </w:p>
        </w:tc>
      </w:tr>
      <w:bookmarkEnd w:id="3"/>
    </w:tbl>
    <w:p w14:paraId="03383B97" w14:textId="77777777" w:rsidR="00B32DE4" w:rsidRPr="00E56EF1" w:rsidRDefault="00B32DE4" w:rsidP="00B32DE4">
      <w:pPr>
        <w:suppressLineNumbers/>
        <w:rPr>
          <w:rFonts w:ascii="Arial (W1)" w:hAnsi="Arial (W1)"/>
          <w:sz w:val="28"/>
          <w:szCs w:val="28"/>
          <w:rtl/>
        </w:rPr>
      </w:pPr>
    </w:p>
    <w:p w14:paraId="18466E9F" w14:textId="77777777" w:rsidR="00AC686A" w:rsidRPr="003A39E1" w:rsidRDefault="00AC686A" w:rsidP="00AC686A">
      <w:pPr>
        <w:rPr>
          <w:rFonts w:ascii="David" w:hAnsi="David"/>
        </w:rPr>
      </w:pPr>
      <w:bookmarkStart w:id="4" w:name="ABSTRACT_END"/>
      <w:bookmarkEnd w:id="4"/>
    </w:p>
    <w:p w14:paraId="610E86AD" w14:textId="77777777" w:rsidR="00AC686A" w:rsidRPr="00AC686A" w:rsidRDefault="00AC686A" w:rsidP="00AC686A">
      <w:pPr>
        <w:suppressLineNumbers/>
      </w:pPr>
    </w:p>
    <w:tbl>
      <w:tblPr>
        <w:bidiVisual/>
        <w:tblW w:w="8820" w:type="dxa"/>
        <w:jc w:val="center"/>
        <w:tblLook w:val="01E0" w:firstRow="1" w:lastRow="1" w:firstColumn="1" w:lastColumn="1" w:noHBand="0" w:noVBand="0"/>
      </w:tblPr>
      <w:tblGrid>
        <w:gridCol w:w="8820"/>
      </w:tblGrid>
      <w:tr w:rsidR="00AC5D5E" w14:paraId="4223CF57" w14:textId="77777777" w:rsidTr="00B32DE4">
        <w:trPr>
          <w:jc w:val="center"/>
        </w:trPr>
        <w:tc>
          <w:tcPr>
            <w:tcW w:w="8820" w:type="dxa"/>
          </w:tcPr>
          <w:p w14:paraId="05518E8A" w14:textId="77777777" w:rsidR="00E56EF1" w:rsidRPr="00E56EF1" w:rsidRDefault="00000000" w:rsidP="00E56EF1">
            <w:pPr>
              <w:bidi w:val="0"/>
              <w:jc w:val="center"/>
              <w:rPr>
                <w:rFonts w:ascii="Arial" w:hAnsi="Arial"/>
                <w:b/>
                <w:bCs/>
                <w:noProof w:val="0"/>
                <w:sz w:val="28"/>
                <w:szCs w:val="28"/>
                <w:u w:val="single"/>
              </w:rPr>
            </w:pPr>
            <w:bookmarkStart w:id="5" w:name="PsakDin" w:colFirst="0" w:colLast="0"/>
            <w:bookmarkEnd w:id="0"/>
            <w:r w:rsidRPr="00E56EF1">
              <w:rPr>
                <w:rFonts w:ascii="Arial" w:hAnsi="Arial"/>
                <w:b/>
                <w:bCs/>
                <w:noProof w:val="0"/>
                <w:sz w:val="28"/>
                <w:szCs w:val="28"/>
                <w:u w:val="single"/>
                <w:rtl/>
              </w:rPr>
              <w:t>פסק דין</w:t>
            </w:r>
          </w:p>
          <w:p w14:paraId="24D608FE" w14:textId="77777777" w:rsidR="00B32DE4" w:rsidRPr="00E56EF1" w:rsidRDefault="00B32DE4" w:rsidP="00E56EF1">
            <w:pPr>
              <w:bidi w:val="0"/>
              <w:jc w:val="center"/>
              <w:rPr>
                <w:rFonts w:ascii="Arial" w:hAnsi="Arial"/>
                <w:b/>
                <w:bCs/>
                <w:noProof w:val="0"/>
                <w:sz w:val="28"/>
                <w:szCs w:val="28"/>
                <w:u w:val="single"/>
              </w:rPr>
            </w:pPr>
          </w:p>
        </w:tc>
      </w:tr>
      <w:bookmarkEnd w:id="5"/>
    </w:tbl>
    <w:p w14:paraId="72D618FD" w14:textId="77777777" w:rsidR="00B32DE4" w:rsidRPr="00DA3F7D" w:rsidRDefault="00B32DE4" w:rsidP="00B32DE4">
      <w:pPr>
        <w:spacing w:line="360" w:lineRule="auto"/>
        <w:jc w:val="both"/>
        <w:rPr>
          <w:rFonts w:ascii="David" w:hAnsi="David"/>
          <w:rtl/>
        </w:rPr>
      </w:pPr>
    </w:p>
    <w:p w14:paraId="1A89A0B1" w14:textId="2A31321B" w:rsidR="00B32DE4" w:rsidRPr="00120E5B" w:rsidRDefault="00000000" w:rsidP="00B32DE4">
      <w:pPr>
        <w:pStyle w:val="1"/>
        <w:numPr>
          <w:ilvl w:val="0"/>
          <w:numId w:val="1"/>
        </w:numPr>
        <w:spacing w:line="360" w:lineRule="auto"/>
        <w:ind w:left="226"/>
        <w:jc w:val="both"/>
        <w:rPr>
          <w:rFonts w:ascii="David" w:hAnsi="David" w:cs="David"/>
          <w:sz w:val="24"/>
          <w:szCs w:val="24"/>
        </w:rPr>
      </w:pPr>
      <w:r w:rsidRPr="00DA3F7D">
        <w:rPr>
          <w:rFonts w:ascii="David" w:hAnsi="David" w:cs="David"/>
          <w:sz w:val="24"/>
          <w:szCs w:val="24"/>
          <w:rtl/>
        </w:rPr>
        <w:t xml:space="preserve">ערעור על פסק דינו של בית משפט לעניינים מקומיים במסגרת </w:t>
      </w:r>
      <w:r w:rsidR="00E56EF1" w:rsidRPr="00DA3F7D">
        <w:rPr>
          <w:rFonts w:ascii="David" w:hAnsi="David" w:cs="David"/>
          <w:sz w:val="24"/>
          <w:szCs w:val="24"/>
          <w:rtl/>
        </w:rPr>
        <w:t>ח"נ 49776-</w:t>
      </w:r>
      <w:bookmarkStart w:id="6" w:name="_Hlt211935669"/>
      <w:bookmarkStart w:id="7" w:name="_Hlt211935670"/>
      <w:r w:rsidR="00E56EF1" w:rsidRPr="00DA3F7D">
        <w:rPr>
          <w:rFonts w:ascii="David" w:hAnsi="David" w:cs="David"/>
          <w:sz w:val="24"/>
          <w:szCs w:val="24"/>
          <w:rtl/>
        </w:rPr>
        <w:t>0</w:t>
      </w:r>
      <w:bookmarkEnd w:id="6"/>
      <w:bookmarkEnd w:id="7"/>
      <w:r w:rsidR="00E56EF1" w:rsidRPr="00DA3F7D">
        <w:rPr>
          <w:rFonts w:ascii="David" w:hAnsi="David" w:cs="David"/>
          <w:sz w:val="24"/>
          <w:szCs w:val="24"/>
          <w:rtl/>
        </w:rPr>
        <w:t>8-24</w:t>
      </w:r>
      <w:r w:rsidRPr="00DA3F7D">
        <w:rPr>
          <w:rFonts w:ascii="David" w:hAnsi="David" w:cs="David"/>
          <w:sz w:val="24"/>
          <w:szCs w:val="24"/>
          <w:rtl/>
        </w:rPr>
        <w:t xml:space="preserve"> (כב' השופטת נגה בליקשטיין שחורי), במסגרתו הורשע המערער לאחר ניהול הוכחות בכך שביום 30.3.24 חנה את רכבו בתחום תחנת אוטובוס בניגוד להוראות </w:t>
      </w:r>
      <w:r w:rsidR="001C0226" w:rsidRPr="00DA3F7D">
        <w:rPr>
          <w:rFonts w:ascii="David" w:hAnsi="David" w:cs="David"/>
          <w:sz w:val="24"/>
          <w:szCs w:val="24"/>
          <w:rtl/>
        </w:rPr>
        <w:t>סעיף 6(ד)(12)</w:t>
      </w:r>
      <w:r w:rsidRPr="00DA3F7D">
        <w:rPr>
          <w:rFonts w:ascii="David" w:hAnsi="David" w:cs="David"/>
          <w:sz w:val="24"/>
          <w:szCs w:val="24"/>
          <w:rtl/>
        </w:rPr>
        <w:t xml:space="preserve"> ל</w:t>
      </w:r>
      <w:r w:rsidR="00E56EF1" w:rsidRPr="00DA3F7D">
        <w:rPr>
          <w:rFonts w:ascii="David" w:hAnsi="David" w:cs="David"/>
          <w:sz w:val="24"/>
          <w:szCs w:val="24"/>
          <w:rtl/>
        </w:rPr>
        <w:t>חוק העזר לתל אביב יפו (העמדת רכב וחנייתו)</w:t>
      </w:r>
      <w:r w:rsidRPr="00DA3F7D">
        <w:rPr>
          <w:rFonts w:ascii="David" w:hAnsi="David" w:cs="David"/>
          <w:sz w:val="24"/>
          <w:szCs w:val="24"/>
          <w:rtl/>
        </w:rPr>
        <w:t>, תשמ"ד</w:t>
      </w:r>
      <w:r w:rsidRPr="00DA3F7D">
        <w:rPr>
          <w:rFonts w:ascii="David" w:hAnsi="David" w:cs="David" w:hint="cs"/>
          <w:sz w:val="24"/>
          <w:szCs w:val="24"/>
          <w:rtl/>
        </w:rPr>
        <w:t xml:space="preserve"> -</w:t>
      </w:r>
      <w:r w:rsidRPr="00DA3F7D">
        <w:rPr>
          <w:rFonts w:ascii="David" w:hAnsi="David" w:cs="David"/>
          <w:sz w:val="24"/>
          <w:szCs w:val="24"/>
          <w:rtl/>
        </w:rPr>
        <w:t xml:space="preserve"> 1983. </w:t>
      </w:r>
      <w:r w:rsidRPr="00DA3F7D">
        <w:rPr>
          <w:rFonts w:ascii="David" w:hAnsi="David" w:cs="David" w:hint="cs"/>
          <w:sz w:val="24"/>
          <w:szCs w:val="24"/>
          <w:rtl/>
        </w:rPr>
        <w:t>בית משפט קמא גזר על הנאשם</w:t>
      </w:r>
      <w:r>
        <w:rPr>
          <w:rFonts w:ascii="David" w:hAnsi="David" w:cs="David" w:hint="cs"/>
          <w:sz w:val="24"/>
          <w:szCs w:val="24"/>
          <w:rtl/>
        </w:rPr>
        <w:t xml:space="preserve"> קנס בסך 600 ₪ ומצא לחייבו בהוצאות בסך 100 ₪. </w:t>
      </w:r>
    </w:p>
    <w:p w14:paraId="2CE666AA" w14:textId="77777777" w:rsidR="00B32DE4" w:rsidRPr="00120E5B" w:rsidRDefault="00B32DE4" w:rsidP="00B32DE4">
      <w:pPr>
        <w:spacing w:line="360" w:lineRule="auto"/>
        <w:jc w:val="both"/>
        <w:rPr>
          <w:rFonts w:ascii="David" w:hAnsi="David"/>
          <w:rtl/>
        </w:rPr>
      </w:pPr>
    </w:p>
    <w:p w14:paraId="1DFD62B9" w14:textId="77777777" w:rsidR="00B32DE4" w:rsidRPr="00120E5B" w:rsidRDefault="00000000" w:rsidP="00B32DE4">
      <w:pPr>
        <w:spacing w:line="360" w:lineRule="auto"/>
        <w:jc w:val="both"/>
        <w:rPr>
          <w:rFonts w:ascii="David" w:hAnsi="David"/>
          <w:b/>
          <w:bCs/>
          <w:rtl/>
        </w:rPr>
      </w:pPr>
      <w:r w:rsidRPr="00120E5B">
        <w:rPr>
          <w:rFonts w:ascii="David" w:hAnsi="David"/>
          <w:b/>
          <w:bCs/>
          <w:rtl/>
        </w:rPr>
        <w:t xml:space="preserve">ההליך בבית משפט קמא </w:t>
      </w:r>
    </w:p>
    <w:p w14:paraId="1CC11A51" w14:textId="71B5AAF6"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sz w:val="24"/>
          <w:szCs w:val="24"/>
          <w:rtl/>
        </w:rPr>
        <w:t>ה</w:t>
      </w:r>
      <w:r>
        <w:rPr>
          <w:rFonts w:ascii="David" w:hAnsi="David" w:cs="David" w:hint="cs"/>
          <w:sz w:val="24"/>
          <w:szCs w:val="24"/>
          <w:rtl/>
        </w:rPr>
        <w:t>מערער הודה ש</w:t>
      </w:r>
      <w:r>
        <w:rPr>
          <w:rFonts w:ascii="David" w:hAnsi="David" w:cs="David"/>
          <w:sz w:val="24"/>
          <w:szCs w:val="24"/>
          <w:rtl/>
        </w:rPr>
        <w:t>חנה בבוקר יום שבת בתחנת אוטובוס</w:t>
      </w:r>
      <w:r>
        <w:rPr>
          <w:rFonts w:ascii="David" w:hAnsi="David" w:cs="David" w:hint="cs"/>
          <w:sz w:val="24"/>
          <w:szCs w:val="24"/>
          <w:rtl/>
        </w:rPr>
        <w:t xml:space="preserve">, </w:t>
      </w:r>
      <w:r>
        <w:rPr>
          <w:rFonts w:ascii="David" w:hAnsi="David" w:cs="David"/>
          <w:sz w:val="24"/>
          <w:szCs w:val="24"/>
          <w:rtl/>
        </w:rPr>
        <w:t xml:space="preserve">שסומנה על ידי אבני שפה </w:t>
      </w:r>
      <w:r>
        <w:rPr>
          <w:rFonts w:ascii="David" w:hAnsi="David" w:cs="David" w:hint="cs"/>
          <w:sz w:val="24"/>
          <w:szCs w:val="24"/>
          <w:rtl/>
        </w:rPr>
        <w:t xml:space="preserve">בצבע </w:t>
      </w:r>
      <w:r>
        <w:rPr>
          <w:rFonts w:ascii="David" w:hAnsi="David" w:cs="David"/>
          <w:sz w:val="24"/>
          <w:szCs w:val="24"/>
          <w:rtl/>
        </w:rPr>
        <w:t>אדום</w:t>
      </w:r>
      <w:r>
        <w:rPr>
          <w:rFonts w:ascii="David" w:hAnsi="David" w:cs="David" w:hint="cs"/>
          <w:sz w:val="24"/>
          <w:szCs w:val="24"/>
          <w:rtl/>
        </w:rPr>
        <w:t>-</w:t>
      </w:r>
      <w:r>
        <w:rPr>
          <w:rFonts w:ascii="David" w:hAnsi="David" w:cs="David"/>
          <w:sz w:val="24"/>
          <w:szCs w:val="24"/>
          <w:rtl/>
        </w:rPr>
        <w:t>צהוב.</w:t>
      </w:r>
      <w:r>
        <w:rPr>
          <w:rFonts w:ascii="David" w:hAnsi="David" w:cs="David" w:hint="cs"/>
          <w:sz w:val="24"/>
          <w:szCs w:val="24"/>
          <w:rtl/>
        </w:rPr>
        <w:t xml:space="preserve"> עיקר הטענות שהעלה בבית משפט קמא עניינן בפגמים ובמחדלים שנפלו בהתנהלות המשיבה. לטענתו אין מדיניות אכיפה בתחנות אוטובוס בימי מנוחה. בענין זה הסתמך על הצהרת נציג המשיבה </w:t>
      </w:r>
      <w:r w:rsidRPr="00DA3F7D">
        <w:rPr>
          <w:rFonts w:ascii="David" w:hAnsi="David" w:cs="David" w:hint="cs"/>
          <w:sz w:val="24"/>
          <w:szCs w:val="24"/>
          <w:rtl/>
        </w:rPr>
        <w:t>בפסקה 10 ל</w:t>
      </w:r>
      <w:r w:rsidR="00E56EF1" w:rsidRPr="00DA3F7D">
        <w:rPr>
          <w:rFonts w:ascii="David" w:hAnsi="David" w:cs="David"/>
          <w:sz w:val="24"/>
          <w:szCs w:val="24"/>
          <w:rtl/>
        </w:rPr>
        <w:t>עפ"א 80020/07</w:t>
      </w:r>
      <w:r w:rsidRPr="00DA3F7D">
        <w:rPr>
          <w:rFonts w:ascii="David" w:hAnsi="David" w:cs="David" w:hint="cs"/>
          <w:sz w:val="24"/>
          <w:szCs w:val="24"/>
          <w:rtl/>
        </w:rPr>
        <w:t xml:space="preserve"> </w:t>
      </w:r>
      <w:r w:rsidRPr="00DA3F7D">
        <w:rPr>
          <w:rFonts w:ascii="David" w:hAnsi="David" w:cs="David" w:hint="cs"/>
          <w:b/>
          <w:bCs/>
          <w:sz w:val="24"/>
          <w:szCs w:val="24"/>
          <w:rtl/>
        </w:rPr>
        <w:t>אהרונוביץ נ' מדינת ישראל</w:t>
      </w:r>
      <w:r w:rsidR="00DA3F7D">
        <w:rPr>
          <w:rFonts w:ascii="David" w:hAnsi="David" w:cs="David" w:hint="cs"/>
          <w:b/>
          <w:bCs/>
          <w:sz w:val="24"/>
          <w:szCs w:val="24"/>
          <w:rtl/>
        </w:rPr>
        <w:t xml:space="preserve"> </w:t>
      </w:r>
      <w:r w:rsidRPr="00DA3F7D">
        <w:rPr>
          <w:rFonts w:ascii="David" w:hAnsi="David" w:cs="David" w:hint="cs"/>
          <w:sz w:val="24"/>
          <w:szCs w:val="24"/>
          <w:rtl/>
        </w:rPr>
        <w:t>לפיה מדיניותה של עיריית תל אביב היא שלא לאכוף חניה בתחנות אוטובוס במהלך ימי המנוחה. עוד טען כי במסגרת תיקון 92 ל</w:t>
      </w:r>
      <w:r w:rsidR="00E56EF1" w:rsidRPr="00DA3F7D">
        <w:rPr>
          <w:rFonts w:ascii="David" w:hAnsi="David" w:cs="David"/>
          <w:sz w:val="24"/>
          <w:szCs w:val="24"/>
          <w:rtl/>
        </w:rPr>
        <w:t>פקודת התעבורה</w:t>
      </w:r>
      <w:r>
        <w:rPr>
          <w:rFonts w:ascii="David" w:hAnsi="David" w:cs="David" w:hint="cs"/>
          <w:sz w:val="24"/>
          <w:szCs w:val="24"/>
          <w:rtl/>
        </w:rPr>
        <w:t xml:space="preserve"> קמה חובה על המשיבה להציב תמרורים המאפשרים חניה בשבת בתחומי תחנת אוטובוס. מאחר והמשיבה חדלה ולא הציבה תמרור כאמור, אין מקום להרשיעו.  </w:t>
      </w:r>
    </w:p>
    <w:p w14:paraId="371B575D" w14:textId="77777777" w:rsidR="00B32DE4" w:rsidRPr="00B4137D" w:rsidRDefault="00B32DE4" w:rsidP="00B32DE4">
      <w:pPr>
        <w:pStyle w:val="1"/>
        <w:spacing w:line="360" w:lineRule="auto"/>
        <w:ind w:left="226"/>
        <w:jc w:val="both"/>
        <w:rPr>
          <w:rFonts w:ascii="David" w:hAnsi="David" w:cs="David"/>
          <w:sz w:val="24"/>
          <w:szCs w:val="24"/>
        </w:rPr>
      </w:pPr>
    </w:p>
    <w:p w14:paraId="2EF35EA2" w14:textId="77777777" w:rsidR="00B32DE4" w:rsidRPr="00156550" w:rsidRDefault="00000000" w:rsidP="00B32DE4">
      <w:pPr>
        <w:pStyle w:val="1"/>
        <w:numPr>
          <w:ilvl w:val="0"/>
          <w:numId w:val="1"/>
        </w:numPr>
        <w:spacing w:line="360" w:lineRule="auto"/>
        <w:ind w:left="226"/>
        <w:jc w:val="both"/>
        <w:rPr>
          <w:rFonts w:ascii="David" w:hAnsi="David" w:cs="David"/>
          <w:sz w:val="24"/>
          <w:szCs w:val="24"/>
        </w:rPr>
      </w:pPr>
      <w:r w:rsidRPr="00156550">
        <w:rPr>
          <w:rFonts w:ascii="David" w:hAnsi="David" w:cs="David"/>
          <w:sz w:val="24"/>
          <w:szCs w:val="24"/>
          <w:rtl/>
        </w:rPr>
        <w:t xml:space="preserve">בית משפט קמא שמע את הפקחית שרשמה את הדוח וזו העידה כי בתחנה בה חנה הנאשם קיימת תנועת אוטובוסים גם </w:t>
      </w:r>
      <w:r>
        <w:rPr>
          <w:rFonts w:ascii="David" w:hAnsi="David" w:cs="David"/>
          <w:sz w:val="24"/>
          <w:szCs w:val="24"/>
          <w:rtl/>
        </w:rPr>
        <w:t>בשבת והפנתה לקווי "נעים בסופ"ש"</w:t>
      </w:r>
      <w:r w:rsidRPr="00156550">
        <w:rPr>
          <w:rFonts w:ascii="David" w:hAnsi="David" w:cs="David"/>
          <w:sz w:val="24"/>
          <w:szCs w:val="24"/>
          <w:rtl/>
        </w:rPr>
        <w:t xml:space="preserve"> המנויים בשלט שסומן במדבקה צהובה. עוד העידה כי מתבצעת אכיפה מלאה של נסיעה בתחום תחנות אוטובוס בשבת, כאשר </w:t>
      </w:r>
      <w:r w:rsidRPr="00156550">
        <w:rPr>
          <w:rFonts w:ascii="David" w:hAnsi="David" w:cs="David"/>
          <w:sz w:val="24"/>
          <w:szCs w:val="24"/>
          <w:rtl/>
        </w:rPr>
        <w:lastRenderedPageBreak/>
        <w:t xml:space="preserve">לא קיים שלט המתיר חניה במקום, וכי לא מוכרת לה מדיניות כלשהי להימנע מאכיפה מעין זו אפילו לא בשעות הקטנות של הלילה. </w:t>
      </w:r>
    </w:p>
    <w:p w14:paraId="49822A25" w14:textId="77777777" w:rsidR="00B32DE4" w:rsidRPr="00156550" w:rsidRDefault="00B32DE4" w:rsidP="00B32DE4">
      <w:pPr>
        <w:pStyle w:val="1"/>
        <w:rPr>
          <w:rFonts w:ascii="David" w:hAnsi="David" w:cs="David"/>
          <w:sz w:val="24"/>
          <w:szCs w:val="24"/>
          <w:rtl/>
        </w:rPr>
      </w:pPr>
    </w:p>
    <w:p w14:paraId="2197973F" w14:textId="77777777"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בית משפט קמא סקר בהכרעת דינו את בקשותיו המקדמיות של המערער ואת כלל טענותיו. בית המשפט דחה את הטענות תוך שהבהיר</w:t>
      </w:r>
      <w:r>
        <w:rPr>
          <w:rFonts w:ascii="David" w:hAnsi="David" w:cs="David"/>
          <w:sz w:val="24"/>
          <w:szCs w:val="24"/>
          <w:rtl/>
        </w:rPr>
        <w:t xml:space="preserve"> כי מדובר בעבירה של אחריות קפידה</w:t>
      </w:r>
      <w:r>
        <w:rPr>
          <w:rFonts w:ascii="David" w:hAnsi="David" w:cs="David" w:hint="cs"/>
          <w:sz w:val="24"/>
          <w:szCs w:val="24"/>
          <w:rtl/>
        </w:rPr>
        <w:t xml:space="preserve"> וכי על סמך הראיות הוכח כי </w:t>
      </w:r>
      <w:r>
        <w:rPr>
          <w:rFonts w:ascii="David" w:hAnsi="David" w:cs="David"/>
          <w:sz w:val="24"/>
          <w:szCs w:val="24"/>
          <w:rtl/>
        </w:rPr>
        <w:t xml:space="preserve">התחנה </w:t>
      </w:r>
      <w:r>
        <w:rPr>
          <w:rFonts w:ascii="David" w:hAnsi="David" w:cs="David" w:hint="cs"/>
          <w:sz w:val="24"/>
          <w:szCs w:val="24"/>
          <w:rtl/>
        </w:rPr>
        <w:t>סומנה</w:t>
      </w:r>
      <w:r>
        <w:rPr>
          <w:rFonts w:ascii="David" w:hAnsi="David" w:cs="David"/>
          <w:sz w:val="24"/>
          <w:szCs w:val="24"/>
          <w:rtl/>
        </w:rPr>
        <w:t xml:space="preserve"> היטב באמצעות תמרור מתאים לרבות אבני שפה אדום צהוב. </w:t>
      </w:r>
      <w:r>
        <w:rPr>
          <w:rFonts w:ascii="David" w:hAnsi="David" w:cs="David" w:hint="cs"/>
          <w:sz w:val="24"/>
          <w:szCs w:val="24"/>
          <w:rtl/>
        </w:rPr>
        <w:t xml:space="preserve">עוד נקבע כי </w:t>
      </w:r>
      <w:r>
        <w:rPr>
          <w:rFonts w:ascii="David" w:hAnsi="David" w:cs="David"/>
          <w:sz w:val="24"/>
          <w:szCs w:val="24"/>
          <w:rtl/>
        </w:rPr>
        <w:t xml:space="preserve">הסימון של קווי נעים בסופ"ש הוא ברור. </w:t>
      </w:r>
      <w:r>
        <w:rPr>
          <w:rFonts w:ascii="David" w:hAnsi="David" w:cs="David" w:hint="cs"/>
          <w:sz w:val="24"/>
          <w:szCs w:val="24"/>
          <w:rtl/>
        </w:rPr>
        <w:t xml:space="preserve">בנסיבות אלה קבע בית משפט קמא כי המערער </w:t>
      </w:r>
      <w:r>
        <w:rPr>
          <w:rFonts w:ascii="David" w:hAnsi="David" w:cs="David"/>
          <w:sz w:val="24"/>
          <w:szCs w:val="24"/>
          <w:rtl/>
        </w:rPr>
        <w:t xml:space="preserve">יכול היה לצאת בנחת </w:t>
      </w:r>
      <w:r>
        <w:rPr>
          <w:rFonts w:ascii="David" w:hAnsi="David" w:cs="David" w:hint="cs"/>
          <w:sz w:val="24"/>
          <w:szCs w:val="24"/>
          <w:rtl/>
        </w:rPr>
        <w:t>מ</w:t>
      </w:r>
      <w:r>
        <w:rPr>
          <w:rFonts w:ascii="David" w:hAnsi="David" w:cs="David"/>
          <w:sz w:val="24"/>
          <w:szCs w:val="24"/>
          <w:rtl/>
        </w:rPr>
        <w:t>רכבו ולבדוק השלטים במקום</w:t>
      </w:r>
      <w:r>
        <w:rPr>
          <w:rFonts w:ascii="David" w:hAnsi="David" w:cs="David" w:hint="cs"/>
          <w:sz w:val="24"/>
          <w:szCs w:val="24"/>
          <w:rtl/>
        </w:rPr>
        <w:t xml:space="preserve"> ומשלא עשה כן לא עמד בנטל להוכיח ש</w:t>
      </w:r>
      <w:r>
        <w:rPr>
          <w:rFonts w:ascii="David" w:hAnsi="David" w:cs="David"/>
          <w:sz w:val="24"/>
          <w:szCs w:val="24"/>
          <w:rtl/>
        </w:rPr>
        <w:t>עשה כל שביכולתו להימנע מהעבירה.</w:t>
      </w:r>
    </w:p>
    <w:p w14:paraId="4F922281" w14:textId="77777777" w:rsidR="00B32DE4" w:rsidRPr="00AE49ED" w:rsidRDefault="00B32DE4" w:rsidP="00B32DE4">
      <w:pPr>
        <w:pStyle w:val="1"/>
        <w:rPr>
          <w:rFonts w:ascii="David" w:hAnsi="David" w:cs="David"/>
          <w:sz w:val="24"/>
          <w:szCs w:val="24"/>
          <w:rtl/>
        </w:rPr>
      </w:pPr>
    </w:p>
    <w:p w14:paraId="344287CE" w14:textId="72FC61B8" w:rsidR="00B32DE4" w:rsidRPr="00B437C7" w:rsidRDefault="00000000" w:rsidP="00B32DE4">
      <w:pPr>
        <w:pStyle w:val="1"/>
        <w:numPr>
          <w:ilvl w:val="0"/>
          <w:numId w:val="1"/>
        </w:numPr>
        <w:spacing w:line="360" w:lineRule="auto"/>
        <w:ind w:left="226"/>
        <w:jc w:val="both"/>
        <w:rPr>
          <w:rFonts w:ascii="David" w:hAnsi="David" w:cs="David"/>
          <w:sz w:val="24"/>
          <w:szCs w:val="24"/>
        </w:rPr>
      </w:pPr>
      <w:r w:rsidRPr="00B437C7">
        <w:rPr>
          <w:rFonts w:ascii="David" w:hAnsi="David" w:cs="David" w:hint="cs"/>
          <w:sz w:val="24"/>
          <w:szCs w:val="24"/>
          <w:rtl/>
        </w:rPr>
        <w:t>באשר לטענה למחדל של העירייה בהצבת תמרור המתיר חניה ביום מנוחה בתחנת אוטובוס קבע בית משפט קמא כי טענה זו מקומה להתברר בבית המשפט לעניינים מנהליים. כן דחה בית משפט קמא את טענת המערער לפיה ה</w:t>
      </w:r>
      <w:r w:rsidRPr="00B437C7">
        <w:rPr>
          <w:rFonts w:ascii="David" w:hAnsi="David" w:cs="David"/>
          <w:sz w:val="24"/>
          <w:szCs w:val="24"/>
          <w:rtl/>
        </w:rPr>
        <w:t xml:space="preserve">תמרור הספציפי המסמן את תחנת האוטובוס בה חנה איננו כדין, וזאת בשל היעדרו של תמרור נוסף המתיר את החניה באותה תחנת אוטובוס במהלך שעות המנוחה. </w:t>
      </w:r>
      <w:r w:rsidRPr="00B437C7">
        <w:rPr>
          <w:rFonts w:ascii="David" w:hAnsi="David" w:cs="David" w:hint="cs"/>
          <w:sz w:val="24"/>
          <w:szCs w:val="24"/>
          <w:rtl/>
        </w:rPr>
        <w:t xml:space="preserve">בית משפט קבע כי מדובר בשאלה רוחבית העוסקת בסמכויותיה </w:t>
      </w:r>
      <w:r w:rsidRPr="00DA3F7D">
        <w:rPr>
          <w:rFonts w:ascii="David" w:hAnsi="David" w:cs="David" w:hint="cs"/>
          <w:sz w:val="24"/>
          <w:szCs w:val="24"/>
          <w:rtl/>
        </w:rPr>
        <w:t xml:space="preserve">ובחובותיה של הרשות בהצבת </w:t>
      </w:r>
      <w:r w:rsidRPr="00DA3F7D">
        <w:rPr>
          <w:rFonts w:ascii="David" w:hAnsi="David" w:cs="David"/>
          <w:sz w:val="24"/>
          <w:szCs w:val="24"/>
          <w:rtl/>
        </w:rPr>
        <w:t>תמרור</w:t>
      </w:r>
      <w:r w:rsidRPr="00DA3F7D">
        <w:rPr>
          <w:rFonts w:ascii="David" w:hAnsi="David" w:cs="David" w:hint="cs"/>
          <w:sz w:val="24"/>
          <w:szCs w:val="24"/>
          <w:rtl/>
        </w:rPr>
        <w:t xml:space="preserve">ים ובהתקיימות התנאים הקבועים בחוק ובחריגים הכל כקבוע </w:t>
      </w:r>
      <w:r w:rsidR="001C0226" w:rsidRPr="00DA3F7D">
        <w:rPr>
          <w:rFonts w:ascii="David" w:hAnsi="David" w:cs="David"/>
          <w:sz w:val="24"/>
          <w:szCs w:val="24"/>
          <w:rtl/>
        </w:rPr>
        <w:t>בסעיפים 70א1(ב)(3)</w:t>
      </w:r>
      <w:r w:rsidRPr="00DA3F7D">
        <w:rPr>
          <w:rFonts w:ascii="David" w:hAnsi="David" w:cs="David"/>
          <w:sz w:val="24"/>
          <w:szCs w:val="24"/>
          <w:rtl/>
        </w:rPr>
        <w:t xml:space="preserve"> ו-</w:t>
      </w:r>
      <w:r w:rsidR="001C0226" w:rsidRPr="00DA3F7D">
        <w:rPr>
          <w:rFonts w:ascii="David" w:hAnsi="David" w:cs="David"/>
          <w:sz w:val="24"/>
          <w:szCs w:val="24"/>
          <w:rtl/>
        </w:rPr>
        <w:t>70א1(ב)(5)</w:t>
      </w:r>
      <w:r w:rsidRPr="00DA3F7D">
        <w:rPr>
          <w:rFonts w:ascii="David" w:hAnsi="David" w:cs="David"/>
          <w:sz w:val="24"/>
          <w:szCs w:val="24"/>
          <w:rtl/>
        </w:rPr>
        <w:t xml:space="preserve"> ל</w:t>
      </w:r>
      <w:r w:rsidR="00E56EF1" w:rsidRPr="00DA3F7D">
        <w:rPr>
          <w:rFonts w:ascii="David" w:hAnsi="David" w:cs="David"/>
          <w:sz w:val="24"/>
          <w:szCs w:val="24"/>
          <w:rtl/>
        </w:rPr>
        <w:t>פקודת התעבורה</w:t>
      </w:r>
      <w:r w:rsidRPr="00DA3F7D">
        <w:rPr>
          <w:rFonts w:ascii="David" w:hAnsi="David" w:cs="David"/>
          <w:sz w:val="24"/>
          <w:szCs w:val="24"/>
          <w:rtl/>
        </w:rPr>
        <w:t xml:space="preserve">. </w:t>
      </w:r>
      <w:r w:rsidRPr="00DA3F7D">
        <w:rPr>
          <w:rFonts w:ascii="David" w:hAnsi="David" w:cs="David" w:hint="cs"/>
          <w:sz w:val="24"/>
          <w:szCs w:val="24"/>
          <w:rtl/>
        </w:rPr>
        <w:t xml:space="preserve">בנוסף דחה בית המשפט את טענת המערער לפיה </w:t>
      </w:r>
      <w:r w:rsidRPr="00DA3F7D">
        <w:rPr>
          <w:rFonts w:ascii="David" w:hAnsi="David" w:cs="David"/>
          <w:sz w:val="24"/>
          <w:szCs w:val="24"/>
          <w:rtl/>
        </w:rPr>
        <w:t>התמרורים אותם מציבה הרשות בתחנות אוטובוס ולפיהם ניתן לחנות בתחנה בימי מנוחה הם דקלרטיביים בלבד</w:t>
      </w:r>
      <w:r w:rsidRPr="00DA3F7D">
        <w:rPr>
          <w:rFonts w:ascii="David" w:hAnsi="David" w:cs="David" w:hint="cs"/>
          <w:sz w:val="24"/>
          <w:szCs w:val="24"/>
          <w:rtl/>
        </w:rPr>
        <w:t xml:space="preserve">. בית המשפט פסק כי </w:t>
      </w:r>
      <w:r w:rsidR="001C0226" w:rsidRPr="00DA3F7D">
        <w:rPr>
          <w:rFonts w:ascii="David" w:hAnsi="David" w:cs="David"/>
          <w:sz w:val="24"/>
          <w:szCs w:val="24"/>
          <w:rtl/>
        </w:rPr>
        <w:t>סעיף 70א1</w:t>
      </w:r>
      <w:r w:rsidRPr="00DA3F7D">
        <w:rPr>
          <w:rFonts w:ascii="David" w:hAnsi="David" w:cs="David"/>
          <w:sz w:val="24"/>
          <w:szCs w:val="24"/>
          <w:rtl/>
        </w:rPr>
        <w:t xml:space="preserve"> </w:t>
      </w:r>
      <w:r w:rsidRPr="00DA3F7D">
        <w:rPr>
          <w:rFonts w:ascii="David" w:hAnsi="David" w:cs="David" w:hint="cs"/>
          <w:sz w:val="24"/>
          <w:szCs w:val="24"/>
          <w:rtl/>
        </w:rPr>
        <w:t>ל</w:t>
      </w:r>
      <w:r w:rsidR="00E56EF1" w:rsidRPr="00DA3F7D">
        <w:rPr>
          <w:rFonts w:ascii="David" w:hAnsi="David" w:cs="David"/>
          <w:sz w:val="24"/>
          <w:szCs w:val="24"/>
          <w:rtl/>
        </w:rPr>
        <w:t>פקודת התעבורה</w:t>
      </w:r>
      <w:r w:rsidRPr="00DA3F7D">
        <w:rPr>
          <w:rFonts w:ascii="David" w:hAnsi="David" w:cs="David" w:hint="cs"/>
          <w:sz w:val="24"/>
          <w:szCs w:val="24"/>
          <w:rtl/>
        </w:rPr>
        <w:t xml:space="preserve"> </w:t>
      </w:r>
      <w:r w:rsidRPr="00DA3F7D">
        <w:rPr>
          <w:rFonts w:ascii="David" w:hAnsi="David" w:cs="David"/>
          <w:sz w:val="24"/>
          <w:szCs w:val="24"/>
          <w:rtl/>
        </w:rPr>
        <w:t>מורה על הצבת תמרורים בתחנות אוטובוס בימי המנוחה</w:t>
      </w:r>
      <w:r w:rsidRPr="00B437C7">
        <w:rPr>
          <w:rFonts w:ascii="David" w:hAnsi="David" w:cs="David" w:hint="cs"/>
          <w:sz w:val="24"/>
          <w:szCs w:val="24"/>
          <w:rtl/>
        </w:rPr>
        <w:t xml:space="preserve"> אולם </w:t>
      </w:r>
      <w:r w:rsidRPr="00B437C7">
        <w:rPr>
          <w:rFonts w:ascii="David" w:hAnsi="David" w:cs="David"/>
          <w:sz w:val="24"/>
          <w:szCs w:val="24"/>
          <w:rtl/>
        </w:rPr>
        <w:t>אינו מורה כי החניה בתחנות אוטובוס מותרת</w:t>
      </w:r>
      <w:r w:rsidRPr="00B437C7">
        <w:rPr>
          <w:rFonts w:ascii="David" w:hAnsi="David" w:cs="David" w:hint="cs"/>
          <w:sz w:val="24"/>
          <w:szCs w:val="24"/>
          <w:rtl/>
        </w:rPr>
        <w:t xml:space="preserve"> בימי שבת</w:t>
      </w:r>
      <w:r w:rsidRPr="00B437C7">
        <w:rPr>
          <w:rFonts w:ascii="David" w:hAnsi="David" w:cs="David"/>
          <w:sz w:val="24"/>
          <w:szCs w:val="24"/>
          <w:rtl/>
        </w:rPr>
        <w:t>.</w:t>
      </w:r>
      <w:r w:rsidRPr="00B437C7">
        <w:rPr>
          <w:rFonts w:ascii="David" w:hAnsi="David" w:cs="David" w:hint="cs"/>
          <w:sz w:val="24"/>
          <w:szCs w:val="24"/>
          <w:rtl/>
        </w:rPr>
        <w:t xml:space="preserve"> </w:t>
      </w:r>
    </w:p>
    <w:p w14:paraId="7760B49C" w14:textId="77777777" w:rsidR="00B32DE4" w:rsidRPr="00B437C7" w:rsidRDefault="00B32DE4" w:rsidP="00B32DE4">
      <w:pPr>
        <w:pStyle w:val="1"/>
        <w:rPr>
          <w:rFonts w:ascii="David" w:hAnsi="David" w:cs="David"/>
          <w:sz w:val="24"/>
          <w:szCs w:val="24"/>
          <w:rtl/>
        </w:rPr>
      </w:pPr>
    </w:p>
    <w:p w14:paraId="53FDCF83" w14:textId="77777777" w:rsidR="00B32DE4" w:rsidRPr="00AE49ED" w:rsidRDefault="00000000" w:rsidP="00B32DE4">
      <w:pPr>
        <w:pStyle w:val="1"/>
        <w:numPr>
          <w:ilvl w:val="0"/>
          <w:numId w:val="1"/>
        </w:numPr>
        <w:spacing w:line="360" w:lineRule="auto"/>
        <w:ind w:left="226"/>
        <w:jc w:val="both"/>
        <w:rPr>
          <w:rFonts w:ascii="David" w:hAnsi="David" w:cs="David"/>
          <w:sz w:val="24"/>
          <w:szCs w:val="24"/>
        </w:rPr>
      </w:pPr>
      <w:r w:rsidRPr="00AE49ED">
        <w:rPr>
          <w:rFonts w:ascii="David" w:hAnsi="David" w:cs="David"/>
          <w:sz w:val="24"/>
          <w:szCs w:val="24"/>
          <w:rtl/>
        </w:rPr>
        <w:t xml:space="preserve">בית משפט קמא דחה גם טענה של זוטי דברים שהעלה המערער וקבע כי לאחר שנדחתה הפרשנות המערער </w:t>
      </w:r>
      <w:r>
        <w:rPr>
          <w:rFonts w:ascii="David" w:hAnsi="David" w:cs="David" w:hint="cs"/>
          <w:sz w:val="24"/>
          <w:szCs w:val="24"/>
          <w:rtl/>
        </w:rPr>
        <w:t xml:space="preserve">ונקבע כי מדובר במקום בו </w:t>
      </w:r>
      <w:r w:rsidRPr="00AE49ED">
        <w:rPr>
          <w:rFonts w:ascii="David" w:hAnsi="David" w:cs="David"/>
          <w:sz w:val="24"/>
          <w:szCs w:val="24"/>
          <w:rtl/>
        </w:rPr>
        <w:t xml:space="preserve">חניה </w:t>
      </w:r>
      <w:r>
        <w:rPr>
          <w:rFonts w:ascii="David" w:hAnsi="David" w:cs="David" w:hint="cs"/>
          <w:sz w:val="24"/>
          <w:szCs w:val="24"/>
          <w:rtl/>
        </w:rPr>
        <w:t xml:space="preserve">אסורה בתחום תחנת אוטובוס בשבת, הרי שלא מדובר בזוטי דברים.  </w:t>
      </w:r>
      <w:r w:rsidRPr="00AE49ED">
        <w:rPr>
          <w:rFonts w:ascii="David" w:hAnsi="David" w:cs="David"/>
          <w:sz w:val="24"/>
          <w:szCs w:val="24"/>
          <w:rtl/>
        </w:rPr>
        <w:t xml:space="preserve"> </w:t>
      </w:r>
    </w:p>
    <w:p w14:paraId="4B0EC4C2" w14:textId="77777777" w:rsidR="00B32DE4" w:rsidRPr="00AE49ED" w:rsidRDefault="00B32DE4" w:rsidP="00B32DE4">
      <w:pPr>
        <w:pStyle w:val="1"/>
        <w:rPr>
          <w:rFonts w:ascii="David" w:hAnsi="David" w:cs="David"/>
          <w:sz w:val="24"/>
          <w:szCs w:val="24"/>
          <w:rtl/>
        </w:rPr>
      </w:pPr>
    </w:p>
    <w:p w14:paraId="109F1D19" w14:textId="7649D1CC" w:rsidR="00B32DE4" w:rsidRPr="00B65DEA" w:rsidRDefault="00000000" w:rsidP="00B32DE4">
      <w:pPr>
        <w:pStyle w:val="1"/>
        <w:numPr>
          <w:ilvl w:val="0"/>
          <w:numId w:val="1"/>
        </w:numPr>
        <w:spacing w:line="360" w:lineRule="auto"/>
        <w:ind w:left="226"/>
        <w:jc w:val="both"/>
        <w:rPr>
          <w:rFonts w:ascii="David" w:hAnsi="David" w:cs="David"/>
          <w:sz w:val="24"/>
          <w:szCs w:val="24"/>
        </w:rPr>
      </w:pPr>
      <w:r w:rsidRPr="00156550">
        <w:rPr>
          <w:rFonts w:ascii="David" w:hAnsi="David" w:cs="David"/>
          <w:sz w:val="24"/>
          <w:szCs w:val="24"/>
          <w:rtl/>
        </w:rPr>
        <w:t xml:space="preserve">בית משפט קמא דחה גם טענה של הגנה מן הצדק </w:t>
      </w:r>
      <w:r w:rsidRPr="00B437C7">
        <w:rPr>
          <w:rFonts w:ascii="David" w:hAnsi="David" w:cs="David"/>
          <w:sz w:val="24"/>
          <w:szCs w:val="24"/>
          <w:rtl/>
        </w:rPr>
        <w:t>לפיה המשיבה סטתה  ממדיניות האכיפה שהייתה קיימת ב-2009 ושעליה הצהירה במסגרת עניין אהרונוביץ</w:t>
      </w:r>
      <w:r w:rsidRPr="00B437C7">
        <w:rPr>
          <w:rFonts w:ascii="David" w:hAnsi="David" w:cs="David" w:hint="cs"/>
          <w:sz w:val="24"/>
          <w:szCs w:val="24"/>
          <w:rtl/>
        </w:rPr>
        <w:t>.</w:t>
      </w:r>
      <w:r w:rsidRPr="00156550">
        <w:rPr>
          <w:rFonts w:ascii="David" w:hAnsi="David" w:cs="David"/>
          <w:b/>
          <w:bCs/>
          <w:sz w:val="24"/>
          <w:szCs w:val="24"/>
          <w:rtl/>
        </w:rPr>
        <w:t xml:space="preserve"> </w:t>
      </w:r>
      <w:r w:rsidRPr="00156550">
        <w:rPr>
          <w:rFonts w:ascii="David" w:hAnsi="David" w:cs="David"/>
          <w:sz w:val="24"/>
          <w:szCs w:val="24"/>
          <w:rtl/>
        </w:rPr>
        <w:t xml:space="preserve">בית משפט קמא קיבל את הצהרת המשיבה </w:t>
      </w:r>
      <w:r>
        <w:rPr>
          <w:rFonts w:ascii="David" w:hAnsi="David" w:cs="David" w:hint="cs"/>
          <w:sz w:val="24"/>
          <w:szCs w:val="24"/>
          <w:rtl/>
        </w:rPr>
        <w:t xml:space="preserve">כי </w:t>
      </w:r>
      <w:r w:rsidRPr="00156550">
        <w:rPr>
          <w:rFonts w:ascii="David" w:hAnsi="David" w:cs="David"/>
          <w:sz w:val="24"/>
          <w:szCs w:val="24"/>
          <w:rtl/>
        </w:rPr>
        <w:t>מאז אותה הצהרה בעניין א</w:t>
      </w:r>
      <w:r>
        <w:rPr>
          <w:rFonts w:ascii="David" w:hAnsi="David" w:cs="David" w:hint="cs"/>
          <w:sz w:val="24"/>
          <w:szCs w:val="24"/>
          <w:rtl/>
        </w:rPr>
        <w:t>ה</w:t>
      </w:r>
      <w:r w:rsidRPr="00156550">
        <w:rPr>
          <w:rFonts w:ascii="David" w:hAnsi="David" w:cs="David"/>
          <w:sz w:val="24"/>
          <w:szCs w:val="24"/>
          <w:rtl/>
        </w:rPr>
        <w:t xml:space="preserve">רונוביץ, תוקן </w:t>
      </w:r>
      <w:r w:rsidRPr="00DA3F7D">
        <w:rPr>
          <w:rFonts w:ascii="David" w:hAnsi="David" w:cs="David"/>
          <w:sz w:val="24"/>
          <w:szCs w:val="24"/>
          <w:rtl/>
        </w:rPr>
        <w:t>תיקון 92 ל</w:t>
      </w:r>
      <w:r w:rsidR="00E56EF1" w:rsidRPr="00DA3F7D">
        <w:rPr>
          <w:rFonts w:ascii="David" w:hAnsi="David" w:cs="David"/>
          <w:sz w:val="24"/>
          <w:szCs w:val="24"/>
          <w:rtl/>
        </w:rPr>
        <w:t>פקודת התעבורה</w:t>
      </w:r>
      <w:r w:rsidRPr="00156550">
        <w:rPr>
          <w:rFonts w:ascii="David" w:hAnsi="David" w:cs="David"/>
          <w:sz w:val="24"/>
          <w:szCs w:val="24"/>
          <w:rtl/>
        </w:rPr>
        <w:t>, הוצבו תמרורים בחלק מתחנות האוטובוס, ומדיניות האכיפה התעדכנה כך שתחנות אוטובוס בהן לא מוצבים תמרורים נאכפות.</w:t>
      </w:r>
      <w:r>
        <w:rPr>
          <w:rFonts w:ascii="David" w:hAnsi="David" w:cs="David" w:hint="cs"/>
          <w:sz w:val="24"/>
          <w:szCs w:val="24"/>
          <w:rtl/>
        </w:rPr>
        <w:t xml:space="preserve"> בית משפט קמא פסק כי למשיבה יש זכות </w:t>
      </w:r>
      <w:r w:rsidRPr="00B65DEA">
        <w:rPr>
          <w:rFonts w:ascii="David" w:hAnsi="David" w:cs="David"/>
          <w:sz w:val="24"/>
          <w:szCs w:val="24"/>
          <w:rtl/>
        </w:rPr>
        <w:t xml:space="preserve">לשנות את מדיניות האכיפה לפי שיקוליה, </w:t>
      </w:r>
      <w:r>
        <w:rPr>
          <w:rFonts w:ascii="David" w:hAnsi="David" w:cs="David"/>
          <w:sz w:val="24"/>
          <w:szCs w:val="24"/>
          <w:rtl/>
        </w:rPr>
        <w:t xml:space="preserve">ועצם השינוי כשלעצמו, אינו </w:t>
      </w:r>
      <w:r>
        <w:rPr>
          <w:rFonts w:ascii="David" w:hAnsi="David" w:cs="David" w:hint="cs"/>
          <w:sz w:val="24"/>
          <w:szCs w:val="24"/>
          <w:rtl/>
        </w:rPr>
        <w:t xml:space="preserve">בבחינת </w:t>
      </w:r>
      <w:r w:rsidRPr="00B65DEA">
        <w:rPr>
          <w:rFonts w:ascii="David" w:hAnsi="David" w:cs="David"/>
          <w:sz w:val="24"/>
          <w:szCs w:val="24"/>
          <w:rtl/>
        </w:rPr>
        <w:t xml:space="preserve">אכיפה בררנית. </w:t>
      </w:r>
    </w:p>
    <w:p w14:paraId="432BFAA9" w14:textId="77777777" w:rsidR="00B32DE4" w:rsidRPr="00B437C7" w:rsidRDefault="00B32DE4" w:rsidP="00B32DE4">
      <w:pPr>
        <w:rPr>
          <w:rFonts w:ascii="David" w:hAnsi="David"/>
          <w:rtl/>
        </w:rPr>
      </w:pPr>
    </w:p>
    <w:p w14:paraId="093BF02D" w14:textId="77777777" w:rsidR="00B32DE4" w:rsidRPr="00E56EF1" w:rsidRDefault="00E56EF1" w:rsidP="00B32DE4">
      <w:pPr>
        <w:spacing w:line="360" w:lineRule="auto"/>
        <w:jc w:val="both"/>
        <w:rPr>
          <w:rFonts w:ascii="David" w:hAnsi="David"/>
          <w:b/>
          <w:bCs/>
          <w:color w:val="FFFFFF"/>
          <w:sz w:val="2"/>
          <w:szCs w:val="2"/>
          <w:rtl/>
        </w:rPr>
      </w:pPr>
      <w:r w:rsidRPr="00E56EF1">
        <w:rPr>
          <w:rFonts w:ascii="David" w:hAnsi="David"/>
          <w:b/>
          <w:bCs/>
          <w:color w:val="FFFFFF"/>
          <w:sz w:val="2"/>
          <w:szCs w:val="2"/>
          <w:rtl/>
        </w:rPr>
        <w:t>ההתיישבות העותומנית [נוסח ישן] 1916</w:t>
      </w:r>
    </w:p>
    <w:p w14:paraId="5B79AC76" w14:textId="77777777" w:rsidR="00B32DE4" w:rsidRPr="00E56EF1" w:rsidRDefault="00E56EF1" w:rsidP="00B32DE4">
      <w:pPr>
        <w:spacing w:line="360" w:lineRule="auto"/>
        <w:jc w:val="both"/>
        <w:rPr>
          <w:rFonts w:ascii="David" w:hAnsi="David"/>
          <w:b/>
          <w:bCs/>
          <w:color w:val="FFFFFF"/>
          <w:sz w:val="2"/>
          <w:szCs w:val="2"/>
          <w:rtl/>
        </w:rPr>
      </w:pPr>
      <w:r w:rsidRPr="00E56EF1">
        <w:rPr>
          <w:rFonts w:ascii="David" w:hAnsi="David"/>
          <w:b/>
          <w:bCs/>
          <w:color w:val="FFFFFF"/>
          <w:sz w:val="2"/>
          <w:szCs w:val="2"/>
          <w:rtl/>
        </w:rPr>
        <w:t>12-34-56-78 צ'כוב נ' מדינת ישראל, פ'ד נא (2)</w:t>
      </w:r>
    </w:p>
    <w:p w14:paraId="65DA1AF5" w14:textId="77777777" w:rsidR="00B32DE4" w:rsidRPr="00120E5B" w:rsidRDefault="00000000" w:rsidP="00B32DE4">
      <w:pPr>
        <w:spacing w:line="360" w:lineRule="auto"/>
        <w:jc w:val="both"/>
        <w:rPr>
          <w:rFonts w:ascii="David" w:hAnsi="David"/>
          <w:b/>
          <w:bCs/>
          <w:rtl/>
        </w:rPr>
      </w:pPr>
      <w:r w:rsidRPr="00120E5B">
        <w:rPr>
          <w:rFonts w:ascii="David" w:hAnsi="David"/>
          <w:b/>
          <w:bCs/>
          <w:rtl/>
        </w:rPr>
        <w:t>הטענות בערעור</w:t>
      </w:r>
    </w:p>
    <w:p w14:paraId="7B491F03" w14:textId="4F73E916" w:rsidR="00B32DE4" w:rsidRDefault="00000000" w:rsidP="00B32DE4">
      <w:pPr>
        <w:pStyle w:val="1"/>
        <w:numPr>
          <w:ilvl w:val="0"/>
          <w:numId w:val="1"/>
        </w:numPr>
        <w:spacing w:line="360" w:lineRule="auto"/>
        <w:ind w:left="226"/>
        <w:jc w:val="both"/>
        <w:rPr>
          <w:rFonts w:ascii="David" w:hAnsi="David" w:cs="David"/>
          <w:sz w:val="24"/>
          <w:szCs w:val="24"/>
          <w:rtl/>
        </w:rPr>
      </w:pPr>
      <w:r>
        <w:rPr>
          <w:rFonts w:ascii="David" w:hAnsi="David" w:cs="David" w:hint="cs"/>
          <w:sz w:val="24"/>
          <w:szCs w:val="24"/>
          <w:rtl/>
        </w:rPr>
        <w:t xml:space="preserve">המערער חזר על טענותיו כפי שנטענו בבית משפט קמא והדגיש כי חנה בתחנת האוטובוס אך ורק משום שלא היה מודע לשינוי במדיניות האכיפה ארוכת השנים וסבר כי חניה בתחום תחנת אוטובוס אינה נאכפת בימי שבת. המערער הלין על כך שבית משפט קמא נמנע מלהכריע אם התקיימו התנאים הקבועים </w:t>
      </w:r>
      <w:r w:rsidR="001C0226" w:rsidRPr="00DA3F7D">
        <w:rPr>
          <w:rFonts w:ascii="David" w:hAnsi="David" w:cs="David"/>
          <w:sz w:val="24"/>
          <w:szCs w:val="24"/>
          <w:rtl/>
        </w:rPr>
        <w:t>בסעיף 70א1</w:t>
      </w:r>
      <w:r w:rsidRPr="00DA3F7D">
        <w:rPr>
          <w:rFonts w:ascii="David" w:hAnsi="David" w:cs="David" w:hint="cs"/>
          <w:sz w:val="24"/>
          <w:szCs w:val="24"/>
          <w:rtl/>
        </w:rPr>
        <w:t xml:space="preserve"> ל</w:t>
      </w:r>
      <w:r w:rsidR="00E56EF1" w:rsidRPr="00DA3F7D">
        <w:rPr>
          <w:rFonts w:ascii="David" w:hAnsi="David" w:cs="David"/>
          <w:sz w:val="24"/>
          <w:szCs w:val="24"/>
          <w:rtl/>
        </w:rPr>
        <w:t>פקודת התעבורה</w:t>
      </w:r>
      <w:r>
        <w:rPr>
          <w:rFonts w:ascii="David" w:hAnsi="David" w:cs="David" w:hint="cs"/>
          <w:sz w:val="24"/>
          <w:szCs w:val="24"/>
          <w:rtl/>
        </w:rPr>
        <w:t xml:space="preserve"> המאפשרים חניה בתחנת אוטובוס וביקש להחזיר את הדיון לבית המשפט קמא על מנת ששאלה זו תוכרע. לטענת המערער טענותיו מכוונות כלפי המחדל הספציפי בתחנת האוטובוס הספציפית ועל כן אינן מתאימות להתברר במסגרת עתירה מנהלית. </w:t>
      </w:r>
    </w:p>
    <w:p w14:paraId="3F37B984" w14:textId="77777777" w:rsidR="00B32DE4" w:rsidRDefault="00B32DE4" w:rsidP="00B32DE4">
      <w:pPr>
        <w:pStyle w:val="1"/>
        <w:spacing w:line="360" w:lineRule="auto"/>
        <w:ind w:left="226"/>
        <w:jc w:val="both"/>
        <w:rPr>
          <w:rFonts w:ascii="David" w:hAnsi="David" w:cs="David"/>
          <w:sz w:val="24"/>
          <w:szCs w:val="24"/>
        </w:rPr>
      </w:pPr>
    </w:p>
    <w:p w14:paraId="57D4C781" w14:textId="77777777"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 xml:space="preserve">המערער טען שמוטלת על הרשות חובה להציב תמרור המתיר חניה בשבת מבלי שיש לרשות שיקול דעת וכי משלא עשתה כן </w:t>
      </w:r>
      <w:r>
        <w:rPr>
          <w:rFonts w:ascii="David" w:hAnsi="David" w:cs="David"/>
          <w:sz w:val="24"/>
          <w:szCs w:val="24"/>
          <w:rtl/>
        </w:rPr>
        <w:t>–</w:t>
      </w:r>
      <w:r>
        <w:rPr>
          <w:rFonts w:ascii="David" w:hAnsi="David" w:cs="David" w:hint="cs"/>
          <w:sz w:val="24"/>
          <w:szCs w:val="24"/>
          <w:rtl/>
        </w:rPr>
        <w:t xml:space="preserve"> הרי הוא רשאי לתקוף את שיקול דעת הרשות בהליך בבית המשפט לעניינים מקומיים. המערער חזר על עמדתו לפיה חניה במקום מותרת בשבת והצבת התמרור היא דקלרטיבית.</w:t>
      </w:r>
    </w:p>
    <w:p w14:paraId="18F695CE" w14:textId="77777777" w:rsidR="00B32DE4" w:rsidRPr="00E941B4" w:rsidRDefault="00B32DE4" w:rsidP="00B32DE4">
      <w:pPr>
        <w:pStyle w:val="1"/>
        <w:rPr>
          <w:rFonts w:ascii="David" w:hAnsi="David" w:cs="David"/>
          <w:sz w:val="24"/>
          <w:szCs w:val="24"/>
          <w:rtl/>
        </w:rPr>
      </w:pPr>
    </w:p>
    <w:p w14:paraId="46DDAF91" w14:textId="53552E81"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 xml:space="preserve">המערער טען כי כשם שמותר לקווי הסעה של "נעים בסופ"ש" לעצור בתחנת האוטובוס כן מותר גם לו וקביעה אחרת מהווה אכיפה בררנית. בנוסף הוסיף טענה חדשה שלא נטענה בבית המשפט קמא ולפיה המשיבה מושתקת מלטעון כפי שטענה ובכך התבסס על עמדת המשיבה כפי </w:t>
      </w:r>
      <w:r w:rsidRPr="00DA3F7D">
        <w:rPr>
          <w:rFonts w:ascii="David" w:hAnsi="David" w:cs="David" w:hint="cs"/>
          <w:sz w:val="24"/>
          <w:szCs w:val="24"/>
          <w:rtl/>
        </w:rPr>
        <w:t>שהוגשה ב</w:t>
      </w:r>
      <w:r w:rsidR="00E56EF1" w:rsidRPr="00DA3F7D">
        <w:rPr>
          <w:rFonts w:ascii="David" w:hAnsi="David" w:cs="David"/>
          <w:sz w:val="24"/>
          <w:szCs w:val="24"/>
          <w:rtl/>
        </w:rPr>
        <w:t>עת"מ 3282-08-18</w:t>
      </w:r>
      <w:r>
        <w:rPr>
          <w:rFonts w:ascii="David" w:hAnsi="David" w:cs="David" w:hint="cs"/>
          <w:sz w:val="24"/>
          <w:szCs w:val="24"/>
          <w:rtl/>
        </w:rPr>
        <w:t xml:space="preserve"> </w:t>
      </w:r>
      <w:r w:rsidRPr="00E941B4">
        <w:rPr>
          <w:rFonts w:ascii="David" w:hAnsi="David" w:cs="David" w:hint="cs"/>
          <w:b/>
          <w:bCs/>
          <w:sz w:val="24"/>
          <w:szCs w:val="24"/>
          <w:rtl/>
        </w:rPr>
        <w:t>אריאל ואח' נ' שר התחבורה ואח'</w:t>
      </w:r>
      <w:r w:rsidR="00AC686A">
        <w:rPr>
          <w:rFonts w:ascii="David" w:hAnsi="David" w:cs="David" w:hint="cs"/>
          <w:b/>
          <w:bCs/>
          <w:sz w:val="24"/>
          <w:szCs w:val="24"/>
          <w:rtl/>
        </w:rPr>
        <w:t xml:space="preserve"> </w:t>
      </w:r>
      <w:r>
        <w:rPr>
          <w:rFonts w:ascii="David" w:hAnsi="David" w:cs="David" w:hint="cs"/>
          <w:sz w:val="24"/>
          <w:szCs w:val="24"/>
          <w:rtl/>
        </w:rPr>
        <w:t xml:space="preserve">המערער הסביר שעלה בידו לעיין בתיק רק לאחר שניתנה הכרעת הדין, אולם לאחר שעיין גילה שעמדת העירייה שם זהה לעמדתו בהליך זה.   </w:t>
      </w:r>
    </w:p>
    <w:p w14:paraId="41A51C33" w14:textId="77777777" w:rsidR="00B32DE4" w:rsidRPr="00545A9C" w:rsidRDefault="00B32DE4" w:rsidP="00B32DE4">
      <w:pPr>
        <w:pStyle w:val="1"/>
        <w:rPr>
          <w:rFonts w:ascii="David" w:hAnsi="David" w:cs="David"/>
          <w:sz w:val="24"/>
          <w:szCs w:val="24"/>
          <w:rtl/>
        </w:rPr>
      </w:pPr>
    </w:p>
    <w:p w14:paraId="7637B826" w14:textId="77777777" w:rsidR="00B32DE4" w:rsidRDefault="00000000" w:rsidP="00B32DE4">
      <w:pPr>
        <w:pStyle w:val="1"/>
        <w:numPr>
          <w:ilvl w:val="0"/>
          <w:numId w:val="1"/>
        </w:numPr>
        <w:spacing w:line="360" w:lineRule="auto"/>
        <w:ind w:left="226"/>
        <w:jc w:val="both"/>
        <w:rPr>
          <w:rFonts w:ascii="David" w:hAnsi="David" w:cs="David"/>
          <w:sz w:val="24"/>
          <w:szCs w:val="24"/>
          <w:rtl/>
        </w:rPr>
      </w:pPr>
      <w:r>
        <w:rPr>
          <w:rFonts w:ascii="David" w:hAnsi="David" w:cs="David" w:hint="cs"/>
          <w:sz w:val="24"/>
          <w:szCs w:val="24"/>
          <w:rtl/>
        </w:rPr>
        <w:t>המערער הוסיף כי הטלת הוצאות בסך 100 ₪ אינה הוגעת.</w:t>
      </w:r>
    </w:p>
    <w:p w14:paraId="52A09206" w14:textId="77777777" w:rsidR="00B32DE4" w:rsidRPr="00120E5B" w:rsidRDefault="00000000" w:rsidP="00B32DE4">
      <w:pPr>
        <w:spacing w:line="360" w:lineRule="auto"/>
        <w:jc w:val="both"/>
        <w:rPr>
          <w:rFonts w:ascii="David" w:hAnsi="David"/>
          <w:b/>
          <w:bCs/>
          <w:rtl/>
        </w:rPr>
      </w:pPr>
      <w:r w:rsidRPr="00120E5B">
        <w:rPr>
          <w:rFonts w:ascii="David" w:hAnsi="David"/>
          <w:b/>
          <w:bCs/>
          <w:rtl/>
        </w:rPr>
        <w:t>תשובת המשיבה</w:t>
      </w:r>
    </w:p>
    <w:p w14:paraId="750ED2B5" w14:textId="3F12B607"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 xml:space="preserve">המשיבה ביקשה לדחות את הערעור מאחר ואין בו להצביע על שגגה עובדתית או משפטית שנפלה בפסק דינו של בית משפט קמא. לטענתה הרשות פעלה כדין ובהתאם להוראות החוק: תחנת האוטובוס שבמרכז תיק זה נכנסת לחריגים </w:t>
      </w:r>
      <w:r w:rsidRPr="00DA3F7D">
        <w:rPr>
          <w:rFonts w:ascii="David" w:hAnsi="David" w:cs="David" w:hint="cs"/>
          <w:sz w:val="24"/>
          <w:szCs w:val="24"/>
          <w:rtl/>
        </w:rPr>
        <w:t xml:space="preserve">המנויים </w:t>
      </w:r>
      <w:r w:rsidR="001C0226" w:rsidRPr="00DA3F7D">
        <w:rPr>
          <w:rFonts w:ascii="David" w:hAnsi="David" w:cs="David"/>
          <w:sz w:val="24"/>
          <w:szCs w:val="24"/>
          <w:rtl/>
        </w:rPr>
        <w:t>בסעיף 70א1(ב)</w:t>
      </w:r>
      <w:r w:rsidRPr="00DA3F7D">
        <w:rPr>
          <w:rFonts w:ascii="David" w:hAnsi="David" w:cs="David" w:hint="cs"/>
          <w:sz w:val="24"/>
          <w:szCs w:val="24"/>
          <w:rtl/>
        </w:rPr>
        <w:t xml:space="preserve"> ל</w:t>
      </w:r>
      <w:r w:rsidR="00E56EF1" w:rsidRPr="00DA3F7D">
        <w:rPr>
          <w:rFonts w:ascii="David" w:hAnsi="David" w:cs="David"/>
          <w:sz w:val="24"/>
          <w:szCs w:val="24"/>
          <w:rtl/>
        </w:rPr>
        <w:t>פקודת התעבורה</w:t>
      </w:r>
      <w:r>
        <w:rPr>
          <w:rFonts w:ascii="David" w:hAnsi="David" w:cs="David" w:hint="cs"/>
          <w:sz w:val="24"/>
          <w:szCs w:val="24"/>
          <w:rtl/>
        </w:rPr>
        <w:t xml:space="preserve"> הואיל ומדובר בנתיב מיועד לתחבורה ציבורית ובתחנה שפעילה גם בשבת. עובדות אלה הוכחו בבית משפט קמא באמצעות עדות הפקחית. משכך הרשעת המערער מוצדקת וכל טענה נוספת בהקשר זה מקומה להתברר בבית משפט לעניינים מנהליים. המשיבה ביקשה לא לגזור גזירה שווה מעניין אריאל עליו הסתמך המערער הואיל ושם דובר על עצירה רגעית בתחנת האוטובוס לצורך העלאה והורדה של נוסעים ולא בחניה כפי שנעשה במקרה זה. </w:t>
      </w:r>
    </w:p>
    <w:p w14:paraId="54B6647C" w14:textId="77777777" w:rsidR="00B32DE4" w:rsidRDefault="00B32DE4" w:rsidP="00B32DE4">
      <w:pPr>
        <w:spacing w:line="360" w:lineRule="auto"/>
        <w:jc w:val="both"/>
        <w:rPr>
          <w:rFonts w:ascii="David" w:hAnsi="David"/>
          <w:b/>
          <w:bCs/>
          <w:rtl/>
        </w:rPr>
      </w:pPr>
    </w:p>
    <w:p w14:paraId="7439D743" w14:textId="77777777" w:rsidR="00B32DE4" w:rsidRDefault="00B32DE4" w:rsidP="00B32DE4">
      <w:pPr>
        <w:spacing w:line="360" w:lineRule="auto"/>
        <w:jc w:val="both"/>
        <w:rPr>
          <w:rFonts w:ascii="David" w:hAnsi="David"/>
          <w:b/>
          <w:bCs/>
          <w:rtl/>
        </w:rPr>
      </w:pPr>
    </w:p>
    <w:p w14:paraId="6A042CF5" w14:textId="77777777" w:rsidR="00B32DE4" w:rsidRPr="00120E5B" w:rsidRDefault="00E56EF1" w:rsidP="00B32DE4">
      <w:pPr>
        <w:spacing w:line="360" w:lineRule="auto"/>
        <w:jc w:val="both"/>
        <w:rPr>
          <w:rFonts w:ascii="David" w:hAnsi="David"/>
          <w:b/>
          <w:bCs/>
          <w:rtl/>
        </w:rPr>
      </w:pPr>
      <w:r w:rsidRPr="00E56EF1">
        <w:rPr>
          <w:rFonts w:ascii="David" w:hAnsi="David"/>
          <w:b/>
          <w:bCs/>
          <w:color w:val="FFFFFF"/>
          <w:sz w:val="2"/>
          <w:szCs w:val="2"/>
          <w:rtl/>
        </w:rPr>
        <w:t>051293710הועתק מנבו</w:t>
      </w:r>
      <w:r w:rsidR="00000000" w:rsidRPr="00120E5B">
        <w:rPr>
          <w:rFonts w:ascii="David" w:hAnsi="David"/>
          <w:b/>
          <w:bCs/>
          <w:rtl/>
        </w:rPr>
        <w:t xml:space="preserve">דיון והכרעה </w:t>
      </w:r>
    </w:p>
    <w:p w14:paraId="3D3DAA84" w14:textId="77777777" w:rsidR="00B32DE4" w:rsidRPr="00120E5B" w:rsidRDefault="00E56EF1" w:rsidP="00B32DE4">
      <w:pPr>
        <w:pStyle w:val="1"/>
        <w:numPr>
          <w:ilvl w:val="0"/>
          <w:numId w:val="1"/>
        </w:numPr>
        <w:spacing w:line="360" w:lineRule="auto"/>
        <w:ind w:left="226"/>
        <w:jc w:val="both"/>
        <w:rPr>
          <w:rFonts w:ascii="David" w:hAnsi="David" w:cs="David"/>
          <w:sz w:val="24"/>
          <w:szCs w:val="24"/>
        </w:rPr>
      </w:pPr>
      <w:r w:rsidRPr="00E56EF1">
        <w:rPr>
          <w:rFonts w:ascii="David" w:hAnsi="David" w:cs="David"/>
          <w:color w:val="FFFFFF"/>
          <w:sz w:val="2"/>
          <w:szCs w:val="2"/>
          <w:rtl/>
        </w:rPr>
        <w:t>054678313</w:t>
      </w:r>
      <w:r w:rsidR="00000000" w:rsidRPr="00120E5B">
        <w:rPr>
          <w:rFonts w:ascii="David" w:hAnsi="David" w:cs="David"/>
          <w:sz w:val="24"/>
          <w:szCs w:val="24"/>
          <w:rtl/>
        </w:rPr>
        <w:t>לאחר שעיינתי בטענות הצדדים, בחומר הראיות, ולאחר ששמעתי את טיעוני הצדדים בדיון שהתקיים בפניי, הגעתי לכלל מסקנה כי דין הערעור להידחות</w:t>
      </w:r>
      <w:r w:rsidR="00000000" w:rsidRPr="00120E5B">
        <w:rPr>
          <w:rFonts w:ascii="David" w:hAnsi="David" w:cs="David"/>
          <w:sz w:val="24"/>
          <w:szCs w:val="24"/>
        </w:rPr>
        <w:t>.</w:t>
      </w:r>
      <w:r w:rsidR="00000000">
        <w:rPr>
          <w:rFonts w:ascii="David" w:hAnsi="David" w:cs="David" w:hint="cs"/>
          <w:sz w:val="24"/>
          <w:szCs w:val="24"/>
          <w:rtl/>
        </w:rPr>
        <w:t xml:space="preserve"> בית המשפט קמא דן לעומק ובחן את כל טיעוני המערער וניתוחו מקובל עלי. </w:t>
      </w:r>
    </w:p>
    <w:p w14:paraId="01C358EF" w14:textId="77777777" w:rsidR="00B32DE4" w:rsidRPr="00F96974" w:rsidRDefault="00B32DE4" w:rsidP="00B32DE4">
      <w:pPr>
        <w:pStyle w:val="1"/>
        <w:spacing w:line="360" w:lineRule="auto"/>
        <w:ind w:left="226"/>
        <w:jc w:val="both"/>
        <w:rPr>
          <w:rFonts w:ascii="David" w:hAnsi="David" w:cs="David"/>
          <w:sz w:val="24"/>
          <w:szCs w:val="24"/>
        </w:rPr>
      </w:pPr>
    </w:p>
    <w:p w14:paraId="3E37672C" w14:textId="77777777"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הבסיס העובדתי מוסכם בין הצדדים: המערער חנה בשדרות רוטשילד בתל אביב, בתחום תחנת אוטובוס המסומנת באבני שפה צבועות באדום-צהוב וזאת ביום שבת בבוקר.</w:t>
      </w:r>
    </w:p>
    <w:p w14:paraId="6E7DCC1D" w14:textId="77777777" w:rsidR="00B32DE4" w:rsidRPr="00545A9C" w:rsidRDefault="00B32DE4" w:rsidP="00B32DE4">
      <w:pPr>
        <w:pStyle w:val="1"/>
        <w:rPr>
          <w:rFonts w:ascii="David" w:hAnsi="David" w:cs="David"/>
          <w:sz w:val="24"/>
          <w:szCs w:val="24"/>
        </w:rPr>
      </w:pPr>
    </w:p>
    <w:p w14:paraId="6B0C702A" w14:textId="77777777"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sz w:val="24"/>
          <w:szCs w:val="24"/>
        </w:rPr>
        <w:t xml:space="preserve"> </w:t>
      </w:r>
      <w:r>
        <w:rPr>
          <w:rFonts w:ascii="David" w:hAnsi="David" w:cs="David" w:hint="cs"/>
          <w:sz w:val="24"/>
          <w:szCs w:val="24"/>
          <w:rtl/>
        </w:rPr>
        <w:t>המערער טען שמותר היה לו לחנות כך בהתאם להוראות החוק ובהתאם למדיניות האכיפה בעיריית תל אביב-יפו.</w:t>
      </w:r>
    </w:p>
    <w:p w14:paraId="5737F05F" w14:textId="77777777" w:rsidR="00B32DE4" w:rsidRPr="00545A9C" w:rsidRDefault="00B32DE4" w:rsidP="00B32DE4">
      <w:pPr>
        <w:pStyle w:val="1"/>
        <w:rPr>
          <w:rFonts w:ascii="David" w:hAnsi="David" w:cs="David"/>
          <w:sz w:val="24"/>
          <w:szCs w:val="24"/>
          <w:rtl/>
        </w:rPr>
      </w:pPr>
    </w:p>
    <w:p w14:paraId="180D42C2" w14:textId="77777777" w:rsidR="00B32DE4" w:rsidRPr="00B437C7" w:rsidRDefault="00000000" w:rsidP="00B32DE4">
      <w:pPr>
        <w:spacing w:line="360" w:lineRule="auto"/>
        <w:jc w:val="both"/>
        <w:rPr>
          <w:rFonts w:ascii="David" w:hAnsi="David"/>
        </w:rPr>
      </w:pPr>
      <w:r w:rsidRPr="00B437C7">
        <w:rPr>
          <w:rFonts w:ascii="David" w:hAnsi="David" w:hint="cs"/>
          <w:b/>
          <w:bCs/>
          <w:rtl/>
        </w:rPr>
        <w:t>הוראות החוק</w:t>
      </w:r>
    </w:p>
    <w:p w14:paraId="4FC6C293" w14:textId="77777777" w:rsidR="00B32DE4" w:rsidRPr="00B437C7" w:rsidRDefault="00B32DE4" w:rsidP="00B32DE4">
      <w:pPr>
        <w:pStyle w:val="1"/>
        <w:rPr>
          <w:rFonts w:ascii="David" w:hAnsi="David" w:cs="David"/>
          <w:sz w:val="24"/>
          <w:szCs w:val="24"/>
          <w:rtl/>
        </w:rPr>
      </w:pPr>
    </w:p>
    <w:p w14:paraId="172360CA" w14:textId="3E2D0534"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 xml:space="preserve">המערער הפנה להוראת </w:t>
      </w:r>
      <w:r w:rsidR="001C0226" w:rsidRPr="00DA3F7D">
        <w:rPr>
          <w:rFonts w:ascii="David" w:hAnsi="David" w:cs="David"/>
          <w:sz w:val="24"/>
          <w:szCs w:val="24"/>
          <w:rtl/>
        </w:rPr>
        <w:t>סעיף 70א1</w:t>
      </w:r>
      <w:r w:rsidRPr="00DA3F7D">
        <w:rPr>
          <w:rFonts w:ascii="David" w:hAnsi="David" w:cs="David" w:hint="cs"/>
          <w:sz w:val="24"/>
          <w:szCs w:val="24"/>
          <w:rtl/>
        </w:rPr>
        <w:t xml:space="preserve"> ל</w:t>
      </w:r>
      <w:r w:rsidR="00E56EF1" w:rsidRPr="00DA3F7D">
        <w:rPr>
          <w:rFonts w:ascii="David" w:hAnsi="David" w:cs="David"/>
          <w:sz w:val="24"/>
          <w:szCs w:val="24"/>
          <w:rtl/>
        </w:rPr>
        <w:t>פקודת התעבורה</w:t>
      </w:r>
      <w:r>
        <w:rPr>
          <w:rFonts w:ascii="David" w:hAnsi="David" w:cs="David" w:hint="cs"/>
          <w:sz w:val="24"/>
          <w:szCs w:val="24"/>
          <w:rtl/>
        </w:rPr>
        <w:t xml:space="preserve"> [נוסח חדש] שכותרתה 'חניה בתחנת אוטובוס בימי מנוחה' ואשר זו לשונה:</w:t>
      </w:r>
    </w:p>
    <w:p w14:paraId="4344E1A0" w14:textId="4807FB44" w:rsidR="00B32DE4" w:rsidRDefault="00000000" w:rsidP="00B32DE4">
      <w:pPr>
        <w:pStyle w:val="p00"/>
        <w:bidi/>
        <w:spacing w:before="72" w:beforeAutospacing="0" w:after="0" w:afterAutospacing="0"/>
        <w:ind w:left="720" w:right="1134"/>
        <w:jc w:val="both"/>
        <w:rPr>
          <w:color w:val="000000"/>
          <w:sz w:val="20"/>
          <w:szCs w:val="20"/>
        </w:rPr>
      </w:pPr>
      <w:r w:rsidRPr="00545A9C">
        <w:rPr>
          <w:rStyle w:val="default"/>
          <w:rFonts w:ascii="FrankRuehl" w:hAnsi="FrankRuehl" w:cs="FrankRuehl" w:hint="cs"/>
          <w:b/>
          <w:bCs/>
          <w:color w:val="000000"/>
          <w:sz w:val="26"/>
          <w:szCs w:val="26"/>
          <w:rtl/>
        </w:rPr>
        <w:t>(א)</w:t>
      </w:r>
      <w:r>
        <w:rPr>
          <w:rStyle w:val="default"/>
          <w:rFonts w:ascii="FrankRuehl" w:hAnsi="FrankRuehl" w:cs="FrankRuehl" w:hint="cs"/>
          <w:color w:val="000000"/>
          <w:sz w:val="26"/>
          <w:szCs w:val="26"/>
          <w:rtl/>
        </w:rPr>
        <w:t xml:space="preserve"> </w:t>
      </w:r>
      <w:r>
        <w:rPr>
          <w:rStyle w:val="default"/>
          <w:rFonts w:ascii="FrankRuehl" w:hAnsi="FrankRuehl" w:cs="FrankRuehl"/>
          <w:color w:val="000000"/>
          <w:sz w:val="26"/>
          <w:szCs w:val="26"/>
          <w:rtl/>
        </w:rPr>
        <w:t xml:space="preserve">רשות תימרור מקומית תציב, בתחום תחנת אוטובוס, תמרור הקובע כי ניתן להחנות או להעמיד רכב פרטי בתחום תחנת האוטובוס, משעה 20:00 בערב יום מנוחה ועד שעה 16:00 ביום המנוחה; בסעיף זה, "ימי מנוחה" – כמשמעותם בסעיף 18א(א) </w:t>
      </w:r>
      <w:r w:rsidRPr="00DA3F7D">
        <w:rPr>
          <w:rStyle w:val="default"/>
          <w:rFonts w:ascii="FrankRuehl" w:hAnsi="FrankRuehl" w:cs="FrankRuehl"/>
          <w:sz w:val="26"/>
          <w:szCs w:val="26"/>
          <w:rtl/>
        </w:rPr>
        <w:t>ל</w:t>
      </w:r>
      <w:r w:rsidR="00E56EF1" w:rsidRPr="00DA3F7D">
        <w:rPr>
          <w:rStyle w:val="default"/>
          <w:rFonts w:ascii="FrankRuehl" w:hAnsi="FrankRuehl" w:cs="FrankRuehl"/>
          <w:sz w:val="26"/>
          <w:szCs w:val="26"/>
          <w:rtl/>
        </w:rPr>
        <w:t>פקודת סדרי השלטון והמשפט</w:t>
      </w:r>
      <w:r w:rsidRPr="00DA3F7D">
        <w:rPr>
          <w:rStyle w:val="default"/>
          <w:rFonts w:ascii="FrankRuehl" w:hAnsi="FrankRuehl" w:cs="FrankRuehl"/>
          <w:sz w:val="26"/>
          <w:szCs w:val="26"/>
          <w:rtl/>
        </w:rPr>
        <w:t>,</w:t>
      </w:r>
      <w:r>
        <w:rPr>
          <w:rStyle w:val="default"/>
          <w:rFonts w:ascii="FrankRuehl" w:hAnsi="FrankRuehl" w:cs="FrankRuehl"/>
          <w:color w:val="000000"/>
          <w:sz w:val="26"/>
          <w:szCs w:val="26"/>
          <w:rtl/>
        </w:rPr>
        <w:t xml:space="preserve"> התש"ח-1948.</w:t>
      </w:r>
    </w:p>
    <w:p w14:paraId="44909276" w14:textId="77777777" w:rsidR="00B32DE4" w:rsidRDefault="00000000" w:rsidP="00B32DE4">
      <w:pPr>
        <w:pStyle w:val="p00"/>
        <w:bidi/>
        <w:spacing w:before="72" w:beforeAutospacing="0" w:after="0" w:afterAutospacing="0"/>
        <w:ind w:left="720" w:right="1134"/>
        <w:jc w:val="both"/>
        <w:rPr>
          <w:color w:val="000000"/>
          <w:sz w:val="20"/>
          <w:szCs w:val="20"/>
          <w:rtl/>
        </w:rPr>
      </w:pPr>
      <w:r w:rsidRPr="00545A9C">
        <w:rPr>
          <w:rStyle w:val="default"/>
          <w:rFonts w:ascii="FrankRuehl" w:hAnsi="FrankRuehl" w:cs="FrankRuehl"/>
          <w:b/>
          <w:bCs/>
          <w:color w:val="000000"/>
          <w:sz w:val="26"/>
          <w:szCs w:val="26"/>
          <w:rtl/>
        </w:rPr>
        <w:t>(ב)</w:t>
      </w:r>
      <w:r w:rsidR="00E56EF1">
        <w:rPr>
          <w:rStyle w:val="default"/>
          <w:rFonts w:ascii="FrankRuehl" w:hAnsi="FrankRuehl" w:cs="FrankRuehl"/>
          <w:color w:val="000000"/>
          <w:sz w:val="26"/>
          <w:szCs w:val="26"/>
          <w:rtl/>
        </w:rPr>
        <w:t xml:space="preserve"> </w:t>
      </w:r>
      <w:r>
        <w:rPr>
          <w:rStyle w:val="default"/>
          <w:rFonts w:ascii="FrankRuehl" w:hAnsi="FrankRuehl" w:cs="FrankRuehl"/>
          <w:color w:val="000000"/>
          <w:sz w:val="26"/>
          <w:szCs w:val="26"/>
          <w:rtl/>
        </w:rPr>
        <w:t xml:space="preserve"> על אף הוראות סעיף קטן (א), לא יוצב תמרור כאמור באותו סעיף קטן –</w:t>
      </w:r>
    </w:p>
    <w:p w14:paraId="794FA2D0" w14:textId="77777777" w:rsidR="00B32DE4" w:rsidRDefault="00000000" w:rsidP="00B32DE4">
      <w:pPr>
        <w:pStyle w:val="p00"/>
        <w:bidi/>
        <w:spacing w:before="72" w:beforeAutospacing="0" w:after="0" w:afterAutospacing="0"/>
        <w:ind w:left="720" w:right="1134"/>
        <w:jc w:val="both"/>
        <w:rPr>
          <w:color w:val="000000"/>
          <w:sz w:val="20"/>
          <w:szCs w:val="20"/>
          <w:rtl/>
        </w:rPr>
      </w:pPr>
      <w:r>
        <w:rPr>
          <w:rStyle w:val="default"/>
          <w:rFonts w:ascii="FrankRuehl" w:hAnsi="FrankRuehl" w:cs="FrankRuehl"/>
          <w:color w:val="000000"/>
          <w:sz w:val="26"/>
          <w:szCs w:val="26"/>
          <w:rtl/>
        </w:rPr>
        <w:t>(1)</w:t>
      </w:r>
      <w:r w:rsidR="00E56EF1">
        <w:rPr>
          <w:rStyle w:val="default"/>
          <w:rFonts w:ascii="FrankRuehl" w:hAnsi="FrankRuehl" w:cs="FrankRuehl"/>
          <w:color w:val="000000"/>
          <w:sz w:val="26"/>
          <w:szCs w:val="26"/>
          <w:rtl/>
        </w:rPr>
        <w:t xml:space="preserve">  </w:t>
      </w:r>
      <w:r>
        <w:rPr>
          <w:rStyle w:val="default"/>
          <w:rFonts w:ascii="FrankRuehl" w:hAnsi="FrankRuehl" w:cs="FrankRuehl"/>
          <w:color w:val="000000"/>
          <w:sz w:val="26"/>
          <w:szCs w:val="26"/>
          <w:rtl/>
        </w:rPr>
        <w:t xml:space="preserve"> בדרך שאינה דרך עירונית;</w:t>
      </w:r>
    </w:p>
    <w:p w14:paraId="7F25FF9E" w14:textId="77777777" w:rsidR="00B32DE4" w:rsidRDefault="00000000" w:rsidP="00B32DE4">
      <w:pPr>
        <w:pStyle w:val="p00"/>
        <w:bidi/>
        <w:spacing w:before="72" w:beforeAutospacing="0" w:after="0" w:afterAutospacing="0"/>
        <w:ind w:left="720" w:right="1134"/>
        <w:jc w:val="both"/>
        <w:rPr>
          <w:color w:val="000000"/>
          <w:sz w:val="20"/>
          <w:szCs w:val="20"/>
          <w:rtl/>
        </w:rPr>
      </w:pPr>
      <w:r>
        <w:rPr>
          <w:rStyle w:val="default"/>
          <w:rFonts w:ascii="FrankRuehl" w:hAnsi="FrankRuehl" w:cs="FrankRuehl"/>
          <w:color w:val="000000"/>
          <w:sz w:val="26"/>
          <w:szCs w:val="26"/>
          <w:rtl/>
        </w:rPr>
        <w:t>(2)</w:t>
      </w:r>
      <w:r w:rsidR="00E56EF1">
        <w:rPr>
          <w:rStyle w:val="default"/>
          <w:rFonts w:ascii="FrankRuehl" w:hAnsi="FrankRuehl" w:cs="FrankRuehl"/>
          <w:color w:val="000000"/>
          <w:sz w:val="26"/>
          <w:szCs w:val="26"/>
          <w:rtl/>
        </w:rPr>
        <w:t xml:space="preserve">  </w:t>
      </w:r>
      <w:r>
        <w:rPr>
          <w:rStyle w:val="default"/>
          <w:rFonts w:ascii="FrankRuehl" w:hAnsi="FrankRuehl" w:cs="FrankRuehl"/>
          <w:color w:val="000000"/>
          <w:sz w:val="26"/>
          <w:szCs w:val="26"/>
          <w:rtl/>
        </w:rPr>
        <w:t xml:space="preserve"> בנתיב הנסיעה בדרך, למעט בנתיב שבו הותרה החניה לפני תחום תחנת האוטובוס ואחריו;</w:t>
      </w:r>
    </w:p>
    <w:p w14:paraId="6FCC4C8D" w14:textId="77777777" w:rsidR="00B32DE4" w:rsidRDefault="00000000" w:rsidP="00B32DE4">
      <w:pPr>
        <w:pStyle w:val="p00"/>
        <w:bidi/>
        <w:spacing w:before="72" w:beforeAutospacing="0" w:after="0" w:afterAutospacing="0"/>
        <w:ind w:left="720" w:right="1134"/>
        <w:jc w:val="both"/>
        <w:rPr>
          <w:color w:val="000000"/>
          <w:sz w:val="20"/>
          <w:szCs w:val="20"/>
          <w:rtl/>
        </w:rPr>
      </w:pPr>
      <w:r>
        <w:rPr>
          <w:rStyle w:val="default"/>
          <w:rFonts w:ascii="FrankRuehl" w:hAnsi="FrankRuehl" w:cs="FrankRuehl"/>
          <w:color w:val="000000"/>
          <w:sz w:val="26"/>
          <w:szCs w:val="26"/>
          <w:rtl/>
        </w:rPr>
        <w:t>(3)</w:t>
      </w:r>
      <w:r w:rsidR="00E56EF1">
        <w:rPr>
          <w:rStyle w:val="default"/>
          <w:rFonts w:ascii="FrankRuehl" w:hAnsi="FrankRuehl" w:cs="FrankRuehl"/>
          <w:color w:val="000000"/>
          <w:sz w:val="26"/>
          <w:szCs w:val="26"/>
          <w:rtl/>
        </w:rPr>
        <w:t xml:space="preserve">  </w:t>
      </w:r>
      <w:r>
        <w:rPr>
          <w:rStyle w:val="default"/>
          <w:rFonts w:ascii="FrankRuehl" w:hAnsi="FrankRuehl" w:cs="FrankRuehl"/>
          <w:color w:val="000000"/>
          <w:sz w:val="26"/>
          <w:szCs w:val="26"/>
          <w:rtl/>
        </w:rPr>
        <w:t xml:space="preserve"> בנתיב שיועד לתחבורה ציבורית;</w:t>
      </w:r>
    </w:p>
    <w:p w14:paraId="0BA1BCAE" w14:textId="77777777" w:rsidR="00B32DE4" w:rsidRDefault="00000000" w:rsidP="00B32DE4">
      <w:pPr>
        <w:pStyle w:val="p00"/>
        <w:bidi/>
        <w:spacing w:before="72" w:beforeAutospacing="0" w:after="0" w:afterAutospacing="0"/>
        <w:ind w:left="720" w:right="1134"/>
        <w:jc w:val="both"/>
        <w:rPr>
          <w:color w:val="000000"/>
          <w:sz w:val="20"/>
          <w:szCs w:val="20"/>
          <w:rtl/>
        </w:rPr>
      </w:pPr>
      <w:r>
        <w:rPr>
          <w:rStyle w:val="default"/>
          <w:rFonts w:ascii="FrankRuehl" w:hAnsi="FrankRuehl" w:cs="FrankRuehl"/>
          <w:color w:val="000000"/>
          <w:sz w:val="26"/>
          <w:szCs w:val="26"/>
          <w:rtl/>
        </w:rPr>
        <w:t>(4)</w:t>
      </w:r>
      <w:r w:rsidR="00E56EF1">
        <w:rPr>
          <w:rStyle w:val="default"/>
          <w:rFonts w:ascii="FrankRuehl" w:hAnsi="FrankRuehl" w:cs="FrankRuehl"/>
          <w:color w:val="000000"/>
          <w:sz w:val="26"/>
          <w:szCs w:val="26"/>
          <w:rtl/>
        </w:rPr>
        <w:t xml:space="preserve">  </w:t>
      </w:r>
      <w:r>
        <w:rPr>
          <w:rStyle w:val="default"/>
          <w:rFonts w:ascii="FrankRuehl" w:hAnsi="FrankRuehl" w:cs="FrankRuehl"/>
          <w:color w:val="000000"/>
          <w:sz w:val="26"/>
          <w:szCs w:val="26"/>
          <w:rtl/>
        </w:rPr>
        <w:t xml:space="preserve"> במסוף לתחבורה ציבורית;</w:t>
      </w:r>
    </w:p>
    <w:p w14:paraId="56D011A3" w14:textId="77777777" w:rsidR="00B32DE4" w:rsidRDefault="00000000" w:rsidP="00B32DE4">
      <w:pPr>
        <w:pStyle w:val="p00"/>
        <w:bidi/>
        <w:spacing w:before="72" w:beforeAutospacing="0" w:after="0" w:afterAutospacing="0"/>
        <w:ind w:left="720" w:right="1134"/>
        <w:jc w:val="both"/>
        <w:rPr>
          <w:color w:val="000000"/>
          <w:sz w:val="20"/>
          <w:szCs w:val="20"/>
          <w:rtl/>
        </w:rPr>
      </w:pPr>
      <w:r>
        <w:rPr>
          <w:rStyle w:val="default"/>
          <w:rFonts w:ascii="FrankRuehl" w:hAnsi="FrankRuehl" w:cs="FrankRuehl"/>
          <w:color w:val="000000"/>
          <w:sz w:val="26"/>
          <w:szCs w:val="26"/>
          <w:rtl/>
        </w:rPr>
        <w:t>(5)</w:t>
      </w:r>
      <w:r w:rsidR="00E56EF1">
        <w:rPr>
          <w:rStyle w:val="default"/>
          <w:rFonts w:ascii="FrankRuehl" w:hAnsi="FrankRuehl" w:cs="FrankRuehl"/>
          <w:color w:val="000000"/>
          <w:sz w:val="26"/>
          <w:szCs w:val="26"/>
          <w:rtl/>
        </w:rPr>
        <w:t xml:space="preserve">  </w:t>
      </w:r>
      <w:r>
        <w:rPr>
          <w:rStyle w:val="default"/>
          <w:rFonts w:ascii="FrankRuehl" w:hAnsi="FrankRuehl" w:cs="FrankRuehl"/>
          <w:color w:val="000000"/>
          <w:sz w:val="26"/>
          <w:szCs w:val="26"/>
          <w:rtl/>
        </w:rPr>
        <w:t xml:space="preserve"> בתחום תחנת אוטובוס המשמשת קו שירות לאוטובוס שלפי תנאי רישיונו פועל גם ביום מנוחה.</w:t>
      </w:r>
    </w:p>
    <w:p w14:paraId="07417D6C" w14:textId="77777777" w:rsidR="00B32DE4" w:rsidRDefault="00B32DE4" w:rsidP="00B32DE4">
      <w:pPr>
        <w:spacing w:line="360" w:lineRule="auto"/>
        <w:jc w:val="both"/>
        <w:rPr>
          <w:rFonts w:ascii="David" w:hAnsi="David"/>
          <w:rtl/>
        </w:rPr>
      </w:pPr>
    </w:p>
    <w:p w14:paraId="76755E97" w14:textId="77777777"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המערער טען שהוראה זו נותנת לו זכות לחנות בתחום תחנת אוטובוס בשבת וכי מדובר בזכות קנויה על פי החוק שאינה טעונה כל תמרור שיאשר זאת. אי הצבת תמרור היא מחדל של העירייה אך הצבתו אינה נדרשת שכן מדובר בתמרור בעל אופי הצהרתי בעוד שהזכות נקבעת בחוק.</w:t>
      </w:r>
    </w:p>
    <w:p w14:paraId="0FBAB634" w14:textId="77777777" w:rsidR="00B32DE4" w:rsidRDefault="00B32DE4" w:rsidP="00B32DE4">
      <w:pPr>
        <w:pStyle w:val="1"/>
        <w:spacing w:line="360" w:lineRule="auto"/>
        <w:ind w:left="226"/>
        <w:jc w:val="both"/>
        <w:rPr>
          <w:rFonts w:ascii="David" w:hAnsi="David" w:cs="David"/>
          <w:sz w:val="24"/>
          <w:szCs w:val="24"/>
        </w:rPr>
      </w:pPr>
    </w:p>
    <w:p w14:paraId="08EC995F" w14:textId="77777777"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לא אוכל לקבל טענה זו. לא מן הבחינה המילולית של לשון החוק ולא מן הבחינה ההיסטורית המלמדת על התפתחות החקיקה.</w:t>
      </w:r>
    </w:p>
    <w:p w14:paraId="77C498FD" w14:textId="77777777" w:rsidR="00B32DE4" w:rsidRPr="00253C2C" w:rsidRDefault="00B32DE4" w:rsidP="00B32DE4">
      <w:pPr>
        <w:pStyle w:val="1"/>
        <w:spacing w:line="360" w:lineRule="auto"/>
        <w:ind w:left="226"/>
        <w:jc w:val="both"/>
        <w:rPr>
          <w:rFonts w:ascii="David" w:hAnsi="David" w:cs="David"/>
          <w:sz w:val="24"/>
          <w:szCs w:val="24"/>
        </w:rPr>
      </w:pPr>
    </w:p>
    <w:p w14:paraId="4C2E2D0D" w14:textId="1447A9EA" w:rsidR="00B32DE4" w:rsidRPr="00237BAF" w:rsidRDefault="00000000" w:rsidP="00B32DE4">
      <w:pPr>
        <w:pStyle w:val="1"/>
        <w:numPr>
          <w:ilvl w:val="0"/>
          <w:numId w:val="1"/>
        </w:numPr>
        <w:spacing w:line="360" w:lineRule="auto"/>
        <w:ind w:left="226"/>
        <w:jc w:val="both"/>
        <w:rPr>
          <w:rFonts w:ascii="David" w:hAnsi="David" w:cs="David"/>
          <w:sz w:val="24"/>
          <w:szCs w:val="24"/>
        </w:rPr>
      </w:pPr>
      <w:r w:rsidRPr="00237BAF">
        <w:rPr>
          <w:rFonts w:ascii="David" w:hAnsi="David" w:cs="David" w:hint="cs"/>
          <w:sz w:val="24"/>
          <w:szCs w:val="24"/>
          <w:u w:val="single"/>
          <w:rtl/>
        </w:rPr>
        <w:t>ראשית מן הבחינה הלשונית</w:t>
      </w:r>
      <w:r w:rsidRPr="00237BAF">
        <w:rPr>
          <w:rFonts w:ascii="David" w:hAnsi="David" w:cs="David" w:hint="cs"/>
          <w:sz w:val="24"/>
          <w:szCs w:val="24"/>
          <w:rtl/>
        </w:rPr>
        <w:t xml:space="preserve"> </w:t>
      </w:r>
      <w:r w:rsidRPr="00237BAF">
        <w:rPr>
          <w:rFonts w:ascii="David" w:hAnsi="David" w:cs="David"/>
          <w:sz w:val="24"/>
          <w:szCs w:val="24"/>
          <w:rtl/>
        </w:rPr>
        <w:t>–</w:t>
      </w:r>
      <w:r w:rsidRPr="00237BAF">
        <w:rPr>
          <w:rFonts w:ascii="David" w:hAnsi="David" w:cs="David" w:hint="cs"/>
          <w:sz w:val="24"/>
          <w:szCs w:val="24"/>
          <w:rtl/>
        </w:rPr>
        <w:t xml:space="preserve"> החוק קובע את שתי האפשרויות זו לצד זו. הוראת </w:t>
      </w:r>
      <w:r w:rsidR="001C0226" w:rsidRPr="00DA3F7D">
        <w:rPr>
          <w:rFonts w:ascii="David" w:hAnsi="David" w:cs="David"/>
          <w:sz w:val="24"/>
          <w:szCs w:val="24"/>
          <w:rtl/>
        </w:rPr>
        <w:t>סעיף 70א</w:t>
      </w:r>
      <w:r w:rsidRPr="00237BAF">
        <w:rPr>
          <w:rFonts w:ascii="David" w:hAnsi="David" w:cs="David" w:hint="cs"/>
          <w:sz w:val="24"/>
          <w:szCs w:val="24"/>
          <w:rtl/>
        </w:rPr>
        <w:t xml:space="preserve"> מורה לרשות להציב תמרור בתחנות אוטובוס המאפשר חנייה בשעות מסוימות אך באותה נשימה קובעת מתי לא יוצב תמרור כאמור</w:t>
      </w:r>
      <w:r>
        <w:rPr>
          <w:rFonts w:ascii="David" w:hAnsi="David" w:cs="David" w:hint="cs"/>
          <w:sz w:val="24"/>
          <w:szCs w:val="24"/>
          <w:rtl/>
        </w:rPr>
        <w:t xml:space="preserve"> </w:t>
      </w:r>
      <w:r w:rsidRPr="00237BAF">
        <w:rPr>
          <w:rFonts w:ascii="David" w:hAnsi="David" w:cs="David" w:hint="cs"/>
          <w:sz w:val="24"/>
          <w:szCs w:val="24"/>
          <w:rtl/>
        </w:rPr>
        <w:t>בתנאים הקבועים בסעיף קטן ב'. לפיכך, התמרור אינו דקלרטיבי כפי שטוען המערער</w:t>
      </w:r>
      <w:r>
        <w:rPr>
          <w:rFonts w:ascii="David" w:hAnsi="David" w:cs="David" w:hint="cs"/>
          <w:sz w:val="24"/>
          <w:szCs w:val="24"/>
          <w:rtl/>
        </w:rPr>
        <w:t xml:space="preserve"> אלא הוא בחירה בין שתי אפשרויות ששתיהן תקפות וקיימות</w:t>
      </w:r>
      <w:r w:rsidRPr="00237BAF">
        <w:rPr>
          <w:rFonts w:ascii="David" w:hAnsi="David" w:cs="David" w:hint="cs"/>
          <w:sz w:val="24"/>
          <w:szCs w:val="24"/>
          <w:rtl/>
        </w:rPr>
        <w:t xml:space="preserve">. </w:t>
      </w:r>
      <w:r>
        <w:rPr>
          <w:rFonts w:ascii="David" w:hAnsi="David" w:cs="David" w:hint="cs"/>
          <w:sz w:val="24"/>
          <w:szCs w:val="24"/>
          <w:rtl/>
        </w:rPr>
        <w:t xml:space="preserve">  </w:t>
      </w:r>
    </w:p>
    <w:p w14:paraId="22833167" w14:textId="77777777" w:rsidR="00B32DE4" w:rsidRPr="00237BAF" w:rsidRDefault="00B32DE4" w:rsidP="00B32DE4">
      <w:pPr>
        <w:pStyle w:val="1"/>
        <w:rPr>
          <w:rFonts w:ascii="David" w:hAnsi="David" w:cs="David"/>
          <w:sz w:val="24"/>
          <w:szCs w:val="24"/>
          <w:rtl/>
        </w:rPr>
      </w:pPr>
    </w:p>
    <w:p w14:paraId="1E0B028E" w14:textId="77777777"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 xml:space="preserve">השאלה מה מבין האפשרויות היא זו שחלה על המקרה שבנדון היא שאלה עובדתית. בענין זה בית המשפט קמא שמע את עדות הפקחית לפיה מדובר בתחום תחנת אוטובוס המשמשת קו שירות לאוטובוס שפועל גם ביום מנוחה (סעיף קטן 5). גם אם בית המשפט קמא לא קבע מפורשות שעדות הפקחית מקובלת עליו, הרי שעדותה לפיה מדובר בתחנה פעילה בשבת לא נסתרה ולא הוחלשה בחקירה נגדית ולפיכך לא הונחה תשתית ראייתית להחזיר את הנטל אל כתפי המשיבה. משכך לא מצאתי כל טעם בהחזרת הדיון לבית המשפט קמא לקביעה מפורשת יותר בנקודה זו ולא מצאתי כל טעם לפתיחת שמיעת ראיות מחודשת.  </w:t>
      </w:r>
    </w:p>
    <w:p w14:paraId="276DB5AA" w14:textId="77777777" w:rsidR="00B32DE4" w:rsidRPr="00253C2C" w:rsidRDefault="00B32DE4" w:rsidP="00B32DE4">
      <w:pPr>
        <w:pStyle w:val="1"/>
        <w:rPr>
          <w:rFonts w:ascii="David" w:hAnsi="David" w:cs="David"/>
          <w:sz w:val="24"/>
          <w:szCs w:val="24"/>
          <w:rtl/>
        </w:rPr>
      </w:pPr>
    </w:p>
    <w:p w14:paraId="36DEF773" w14:textId="7EF33C32"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 xml:space="preserve">המערער לא הציג ראייה לכך שהתחנה אינה פעילה בשבת או שלא מדובר בקו שעל פי תנאי רשיונו יכול לפעול גם ביום מנוחה. כתחליף לכך הפנה לפסה"ד בענין </w:t>
      </w:r>
      <w:r w:rsidRPr="00853B33">
        <w:rPr>
          <w:rFonts w:ascii="David" w:hAnsi="David" w:cs="David" w:hint="cs"/>
          <w:b/>
          <w:bCs/>
          <w:sz w:val="24"/>
          <w:szCs w:val="24"/>
          <w:rtl/>
        </w:rPr>
        <w:t>אריאל</w:t>
      </w:r>
      <w:r>
        <w:rPr>
          <w:rFonts w:ascii="David" w:hAnsi="David" w:cs="David" w:hint="cs"/>
          <w:sz w:val="24"/>
          <w:szCs w:val="24"/>
          <w:rtl/>
        </w:rPr>
        <w:t xml:space="preserve">. אלא שבענין </w:t>
      </w:r>
      <w:r w:rsidRPr="00853B33">
        <w:rPr>
          <w:rFonts w:ascii="David" w:hAnsi="David" w:cs="David" w:hint="cs"/>
          <w:b/>
          <w:bCs/>
          <w:sz w:val="24"/>
          <w:szCs w:val="24"/>
          <w:rtl/>
        </w:rPr>
        <w:t>אריאל</w:t>
      </w:r>
      <w:r>
        <w:rPr>
          <w:rFonts w:ascii="David" w:hAnsi="David" w:cs="David" w:hint="cs"/>
          <w:sz w:val="24"/>
          <w:szCs w:val="24"/>
          <w:rtl/>
        </w:rPr>
        <w:t xml:space="preserve"> מדובר בעתירה לגבי חברת תחבורה אחרת בעיר אחרת. יתר על כן לא ניתן למצוא בפסק הדין את אשר המערער מחפש בו. בית המשפט ציין באותו ענין שהגם שמדובר בהסעה מיוחדת, הרי שאם יוצב תמרור מתאים בתחנת האוטובוס, יש בכך להסדיר את הענין בהיבט </w:t>
      </w:r>
      <w:r w:rsidRPr="00DA3F7D">
        <w:rPr>
          <w:rFonts w:ascii="David" w:hAnsi="David" w:cs="David" w:hint="cs"/>
          <w:sz w:val="24"/>
          <w:szCs w:val="24"/>
          <w:rtl/>
        </w:rPr>
        <w:t xml:space="preserve">של </w:t>
      </w:r>
      <w:r w:rsidR="00E56EF1" w:rsidRPr="00DA3F7D">
        <w:rPr>
          <w:rFonts w:ascii="David" w:hAnsi="David" w:cs="David"/>
          <w:sz w:val="24"/>
          <w:szCs w:val="24"/>
          <w:rtl/>
        </w:rPr>
        <w:t>פקודת התעבורה</w:t>
      </w:r>
      <w:r w:rsidRPr="00DA3F7D">
        <w:rPr>
          <w:rFonts w:ascii="David" w:hAnsi="David" w:cs="David" w:hint="cs"/>
          <w:sz w:val="24"/>
          <w:szCs w:val="24"/>
          <w:rtl/>
        </w:rPr>
        <w:t>. בית המשפט לא נדרש לשאלה הקונקרטית שכן לא הובאו בפניו נתונים.</w:t>
      </w:r>
      <w:r>
        <w:rPr>
          <w:rFonts w:ascii="David" w:hAnsi="David" w:cs="David" w:hint="cs"/>
          <w:sz w:val="24"/>
          <w:szCs w:val="24"/>
          <w:rtl/>
        </w:rPr>
        <w:t xml:space="preserve"> טענת השתק וודאי לא קיימת: ראשית מן הטעם שלא מדובר באותה משיבה (האחת היא עיריית רמת גן והשנייה עיריית תל אביב). שנית מן הטעם שהסוגיה שונה (שם נדונה טענה בדבר הפעלת הסעה ללא רשיון). שלישית בתגובת עיריית רמת גן שצירף המערער מודגש כי קיים הבדל בין עצירה רגעית של קו אוטובוס לבין חניה בתחום תחנת אוטובוס. אין מחלוקת לגבי העובדה שהמערער חנה בתחום תחנת אוטובוס ולא עצר שם עצירה רגעית לשם העלאה או הורדה של נוסעים. נתון זה שולל גם את טענת המערער בדבר אכיפה בררנית בינו לבין קווי ההסעות.</w:t>
      </w:r>
    </w:p>
    <w:p w14:paraId="22C7D590" w14:textId="77777777" w:rsidR="00B32DE4" w:rsidRDefault="00B32DE4" w:rsidP="00B32DE4">
      <w:pPr>
        <w:pStyle w:val="1"/>
        <w:spacing w:line="360" w:lineRule="auto"/>
        <w:ind w:left="226"/>
        <w:jc w:val="both"/>
        <w:rPr>
          <w:rFonts w:ascii="David" w:hAnsi="David" w:cs="David"/>
          <w:sz w:val="24"/>
          <w:szCs w:val="24"/>
        </w:rPr>
      </w:pPr>
    </w:p>
    <w:p w14:paraId="6758C688" w14:textId="77777777" w:rsidR="00B32DE4" w:rsidRDefault="00000000" w:rsidP="00B32DE4">
      <w:pPr>
        <w:pStyle w:val="1"/>
        <w:numPr>
          <w:ilvl w:val="0"/>
          <w:numId w:val="1"/>
        </w:numPr>
        <w:spacing w:line="360" w:lineRule="auto"/>
        <w:ind w:left="226"/>
        <w:jc w:val="both"/>
        <w:rPr>
          <w:rFonts w:ascii="David" w:hAnsi="David" w:cs="David"/>
          <w:sz w:val="24"/>
          <w:szCs w:val="24"/>
        </w:rPr>
      </w:pPr>
      <w:r w:rsidRPr="00253C2C">
        <w:rPr>
          <w:rFonts w:ascii="David" w:hAnsi="David" w:cs="David" w:hint="cs"/>
          <w:sz w:val="24"/>
          <w:szCs w:val="24"/>
          <w:u w:val="single"/>
          <w:rtl/>
        </w:rPr>
        <w:t>שנית - מבחינת התפתחות החקיקה ותכלית החוק</w:t>
      </w:r>
      <w:r w:rsidRPr="00253C2C">
        <w:rPr>
          <w:rFonts w:ascii="David" w:hAnsi="David" w:cs="David" w:hint="cs"/>
          <w:sz w:val="24"/>
          <w:szCs w:val="24"/>
          <w:rtl/>
        </w:rPr>
        <w:t xml:space="preserve"> - הטענה כי מותר לאדם לחנות בתחום תחנת אוטובוס בשבת אינה טענה חדשה ונטענה כבר בענין </w:t>
      </w:r>
      <w:r w:rsidRPr="00853B33">
        <w:rPr>
          <w:rFonts w:ascii="David" w:hAnsi="David" w:cs="David" w:hint="cs"/>
          <w:b/>
          <w:bCs/>
          <w:sz w:val="24"/>
          <w:szCs w:val="24"/>
          <w:rtl/>
        </w:rPr>
        <w:t>אהרונוביץ</w:t>
      </w:r>
      <w:r w:rsidRPr="00253C2C">
        <w:rPr>
          <w:rFonts w:ascii="David" w:hAnsi="David" w:cs="David" w:hint="cs"/>
          <w:sz w:val="24"/>
          <w:szCs w:val="24"/>
          <w:rtl/>
        </w:rPr>
        <w:t xml:space="preserve"> אליו הפנה המערער. בית המשפט שדן אז בסוגיה היה ער למצוקת חניה בערים הגדולות ואף על פי כן פסק שלא ניתן להותיר את שיקול הדעת לאזרחים, מתי לקיים הוראות תמרורים ומתי לא. לפיכך נקבע אז כי האיסור לחנות בתחום תחנת אוטובוס תקף בכל שעות היום וגם בימי מנוחה. </w:t>
      </w:r>
    </w:p>
    <w:p w14:paraId="53C54BB6" w14:textId="77777777" w:rsidR="00B32DE4" w:rsidRPr="00253C2C" w:rsidRDefault="00B32DE4" w:rsidP="00B32DE4">
      <w:pPr>
        <w:pStyle w:val="1"/>
        <w:rPr>
          <w:rFonts w:ascii="David" w:hAnsi="David" w:cs="David"/>
          <w:sz w:val="24"/>
          <w:szCs w:val="24"/>
          <w:rtl/>
        </w:rPr>
      </w:pPr>
    </w:p>
    <w:p w14:paraId="52F66C11" w14:textId="3A56BF54"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 xml:space="preserve">בחלוף </w:t>
      </w:r>
      <w:r w:rsidRPr="00DA3F7D">
        <w:rPr>
          <w:rFonts w:ascii="David" w:hAnsi="David" w:cs="David" w:hint="cs"/>
          <w:sz w:val="24"/>
          <w:szCs w:val="24"/>
          <w:rtl/>
        </w:rPr>
        <w:t xml:space="preserve">השנים ועל מנת לתת פתרון מאוזן יותר לאינטרסים המנוגדים, תוקנה </w:t>
      </w:r>
      <w:r w:rsidR="00E56EF1" w:rsidRPr="00DA3F7D">
        <w:rPr>
          <w:rFonts w:ascii="David" w:hAnsi="David" w:cs="David"/>
          <w:sz w:val="24"/>
          <w:szCs w:val="24"/>
          <w:rtl/>
        </w:rPr>
        <w:t>פקודת התעבורה</w:t>
      </w:r>
      <w:r w:rsidRPr="00DA3F7D">
        <w:rPr>
          <w:rFonts w:ascii="David" w:hAnsi="David" w:cs="David" w:hint="cs"/>
          <w:sz w:val="24"/>
          <w:szCs w:val="24"/>
          <w:rtl/>
        </w:rPr>
        <w:t xml:space="preserve"> והוסף לה </w:t>
      </w:r>
      <w:r w:rsidR="001C0226" w:rsidRPr="00DA3F7D">
        <w:rPr>
          <w:rFonts w:ascii="David" w:hAnsi="David" w:cs="David"/>
          <w:sz w:val="24"/>
          <w:szCs w:val="24"/>
          <w:rtl/>
        </w:rPr>
        <w:t>סעיף 70א1</w:t>
      </w:r>
      <w:r w:rsidRPr="00DA3F7D">
        <w:rPr>
          <w:rFonts w:ascii="David" w:hAnsi="David" w:cs="David" w:hint="cs"/>
          <w:sz w:val="24"/>
          <w:szCs w:val="24"/>
          <w:rtl/>
        </w:rPr>
        <w:t xml:space="preserve"> שצוטט לעיל. סעיף זה מטיל חובה על הרשויות להגדיר מתי מותר לחנות בתחום תחנת אוטובוס ומתי לא. הסעיף תוקן אולם העיקרון שנקבע בענין אהרונוביץ</w:t>
      </w:r>
      <w:r w:rsidRPr="00DA3F7D">
        <w:rPr>
          <w:rFonts w:ascii="David" w:hAnsi="David" w:cs="David"/>
          <w:sz w:val="24"/>
          <w:szCs w:val="24"/>
          <w:rtl/>
        </w:rPr>
        <w:t>'</w:t>
      </w:r>
      <w:r w:rsidRPr="00DA3F7D">
        <w:rPr>
          <w:rFonts w:ascii="David" w:hAnsi="David" w:cs="David" w:hint="cs"/>
          <w:sz w:val="24"/>
          <w:szCs w:val="24"/>
          <w:rtl/>
        </w:rPr>
        <w:t xml:space="preserve"> נותר בעינו (</w:t>
      </w:r>
      <w:r w:rsidR="00E56EF1" w:rsidRPr="00DA3F7D">
        <w:rPr>
          <w:rFonts w:ascii="David" w:hAnsi="David" w:cs="David"/>
          <w:sz w:val="24"/>
          <w:szCs w:val="24"/>
          <w:rtl/>
        </w:rPr>
        <w:t>רע"פ 7451/07</w:t>
      </w:r>
      <w:r w:rsidRPr="00DA3F7D">
        <w:rPr>
          <w:rFonts w:ascii="David" w:hAnsi="David" w:cs="David" w:hint="cs"/>
          <w:sz w:val="24"/>
          <w:szCs w:val="24"/>
          <w:rtl/>
        </w:rPr>
        <w:t xml:space="preserve"> </w:t>
      </w:r>
      <w:r w:rsidRPr="00DA3F7D">
        <w:rPr>
          <w:rFonts w:ascii="David" w:hAnsi="David" w:cs="David" w:hint="cs"/>
          <w:b/>
          <w:bCs/>
          <w:sz w:val="24"/>
          <w:szCs w:val="24"/>
          <w:rtl/>
        </w:rPr>
        <w:t>מדינת ישראל נ' אהרונוביץ</w:t>
      </w:r>
      <w:r w:rsidRPr="00DA3F7D">
        <w:rPr>
          <w:rFonts w:ascii="David" w:hAnsi="David" w:cs="David" w:hint="cs"/>
          <w:sz w:val="24"/>
          <w:szCs w:val="24"/>
          <w:rtl/>
        </w:rPr>
        <w:t xml:space="preserve"> (2.6.08)). בהעדר תמרור המתיר חניה בתחום תחנת אוטובוס </w:t>
      </w:r>
      <w:r w:rsidRPr="00DA3F7D">
        <w:rPr>
          <w:rFonts w:ascii="David" w:hAnsi="David" w:cs="David"/>
          <w:sz w:val="24"/>
          <w:szCs w:val="24"/>
          <w:rtl/>
        </w:rPr>
        <w:t>–</w:t>
      </w:r>
      <w:r w:rsidRPr="00DA3F7D">
        <w:rPr>
          <w:rFonts w:ascii="David" w:hAnsi="David" w:cs="David" w:hint="cs"/>
          <w:sz w:val="24"/>
          <w:szCs w:val="24"/>
          <w:rtl/>
        </w:rPr>
        <w:t xml:space="preserve"> האיסור</w:t>
      </w:r>
      <w:r>
        <w:rPr>
          <w:rFonts w:ascii="David" w:hAnsi="David" w:cs="David" w:hint="cs"/>
          <w:sz w:val="24"/>
          <w:szCs w:val="24"/>
          <w:rtl/>
        </w:rPr>
        <w:t xml:space="preserve"> בתוקף. העולם המשפטי של שאלת החניה נועד להיות פשוט לתפעול. </w:t>
      </w:r>
      <w:r w:rsidRPr="00485427">
        <w:rPr>
          <w:rFonts w:ascii="David" w:hAnsi="David" w:cs="David" w:hint="cs"/>
          <w:sz w:val="24"/>
          <w:szCs w:val="24"/>
          <w:rtl/>
        </w:rPr>
        <w:t>כפי שנפסק</w:t>
      </w:r>
      <w:r>
        <w:rPr>
          <w:rFonts w:ascii="David" w:hAnsi="David" w:cs="David" w:hint="cs"/>
          <w:sz w:val="24"/>
          <w:szCs w:val="24"/>
          <w:rtl/>
        </w:rPr>
        <w:t xml:space="preserve"> </w:t>
      </w:r>
      <w:r w:rsidRPr="00485427">
        <w:rPr>
          <w:rFonts w:ascii="David" w:hAnsi="David" w:cs="David" w:hint="cs"/>
          <w:sz w:val="24"/>
          <w:szCs w:val="24"/>
          <w:rtl/>
        </w:rPr>
        <w:t xml:space="preserve">"כאשר מסומנים סימני דרך כחוק, על נהג לציית להם גם אם אין הם עולים בקנה אחד עם שיקול דעתו. האינטרס הציבורי מחייב שלא להשאיר בידי נהגים שיקול דעת במקום בו נקבעו סימנים ותמרורים מחייבים כחוק [...]" (פסקה 8). הסימנים והתמרורים שנקבעו ולכך אוסיף - גם אלו שלא נקבעו. אם אין תמרור המתיר </w:t>
      </w:r>
      <w:r w:rsidRPr="00485427">
        <w:rPr>
          <w:rFonts w:ascii="David" w:hAnsi="David" w:cs="David"/>
          <w:sz w:val="24"/>
          <w:szCs w:val="24"/>
          <w:rtl/>
        </w:rPr>
        <w:t>–</w:t>
      </w:r>
      <w:r w:rsidRPr="00485427">
        <w:rPr>
          <w:rFonts w:ascii="David" w:hAnsi="David" w:cs="David" w:hint="cs"/>
          <w:sz w:val="24"/>
          <w:szCs w:val="24"/>
          <w:rtl/>
        </w:rPr>
        <w:t xml:space="preserve"> החניה אסורה. לא לנהג העובר בדרך לקבוע האם זו תחנה פעילה בשבת, האם לתחבורה העוצרת שם יש רישיון והאם מדובר בנתיב תחבורה ציבורית. אם אין תמרור </w:t>
      </w:r>
      <w:r w:rsidRPr="00485427">
        <w:rPr>
          <w:rFonts w:ascii="David" w:hAnsi="David" w:cs="David"/>
          <w:sz w:val="24"/>
          <w:szCs w:val="24"/>
          <w:rtl/>
        </w:rPr>
        <w:t>–</w:t>
      </w:r>
      <w:r w:rsidRPr="00485427">
        <w:rPr>
          <w:rFonts w:ascii="David" w:hAnsi="David" w:cs="David" w:hint="cs"/>
          <w:sz w:val="24"/>
          <w:szCs w:val="24"/>
          <w:rtl/>
        </w:rPr>
        <w:t xml:space="preserve"> אל לו לחנות שם.</w:t>
      </w:r>
      <w:r>
        <w:rPr>
          <w:rFonts w:ascii="David" w:hAnsi="David" w:cs="David" w:hint="cs"/>
          <w:sz w:val="24"/>
          <w:szCs w:val="24"/>
          <w:rtl/>
        </w:rPr>
        <w:t xml:space="preserve"> מאחר ובתחנה הרלוונטית למערער לא הוצב תמרור המתיר חניה, אסור היה לו לחנות שם.</w:t>
      </w:r>
    </w:p>
    <w:p w14:paraId="529CB80B" w14:textId="77777777" w:rsidR="00B32DE4" w:rsidRPr="008570FE" w:rsidRDefault="00B32DE4" w:rsidP="00B32DE4">
      <w:pPr>
        <w:pStyle w:val="1"/>
        <w:rPr>
          <w:rFonts w:ascii="David" w:hAnsi="David" w:cs="David"/>
          <w:sz w:val="24"/>
          <w:szCs w:val="24"/>
          <w:rtl/>
        </w:rPr>
      </w:pPr>
    </w:p>
    <w:p w14:paraId="614D5F1A" w14:textId="77777777"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 xml:space="preserve">משמעות הימנעות הרשות מהצבת תמרור בתחנה ספציפית יכולה להיות פרי של מחדל אבל יכולה גם להיות החלטה מודעת של הרשות שלא להציב תמרור בתחנה זו. המערער לא הראה שאי הצבת תמרור במקרה הנ"ל נעשה שלא כדין. להיפך, הפקחית העידה שמדובר בתחנה המשמשת תחבורה בימי מנוחה והיא מסומנת בהתאם. על פניו, בצדק אין היתר לחנות בתחום תחנה זו. מעבר לכך לא הוצגה כל אינדיקציה למחדל או להמנעות שלא כדין מהצבת התמרור. </w:t>
      </w:r>
    </w:p>
    <w:p w14:paraId="704651DE" w14:textId="77777777" w:rsidR="00B32DE4" w:rsidRPr="006961EB" w:rsidRDefault="00000000" w:rsidP="00B32DE4">
      <w:pPr>
        <w:spacing w:line="360" w:lineRule="auto"/>
        <w:ind w:left="-134"/>
        <w:jc w:val="both"/>
        <w:rPr>
          <w:rFonts w:ascii="David" w:hAnsi="David"/>
          <w:b/>
          <w:bCs/>
        </w:rPr>
      </w:pPr>
      <w:r w:rsidRPr="006961EB">
        <w:rPr>
          <w:rFonts w:ascii="David" w:hAnsi="David" w:hint="cs"/>
          <w:b/>
          <w:bCs/>
          <w:rtl/>
        </w:rPr>
        <w:t xml:space="preserve">תקיפה עקיפה של שיקול דעת הרשות בבחירתה שלא להציב תמרור המתיר חניה במקרה הקונקרטי </w:t>
      </w:r>
    </w:p>
    <w:p w14:paraId="54BFA14A" w14:textId="77777777" w:rsidR="00B32DE4" w:rsidRPr="00E20718" w:rsidRDefault="00B32DE4" w:rsidP="00B32DE4">
      <w:pPr>
        <w:pStyle w:val="1"/>
        <w:rPr>
          <w:rFonts w:ascii="David" w:hAnsi="David" w:cs="David"/>
          <w:sz w:val="24"/>
          <w:szCs w:val="24"/>
          <w:rtl/>
        </w:rPr>
      </w:pPr>
    </w:p>
    <w:p w14:paraId="569B8699" w14:textId="77777777"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 xml:space="preserve">טענה עיקרית של המערער נוגעת לתקיפת שיקול הדעת של הרשות. לטענתו היה על הרשות להציב תמרור המתיר לו חניה במקום ושומה על בית המשפט לעניינים מקומיים לברר טענה זו במסגרת תקיפה עקיפה של שיקול הדעת המנהלי של הרשות. בית המשפט קמא דחה טענתו ועמדתו מקובלת עלי. תקיפה עקיפה של שיקול הדעת של הרשות אפשרית במקרים המתאימים אלא שהמקרה שלפני אינו אחד מאותם מקרים.  </w:t>
      </w:r>
    </w:p>
    <w:p w14:paraId="278778F2" w14:textId="26D246D4" w:rsidR="00B32DE4" w:rsidRPr="00D3597F" w:rsidRDefault="00000000" w:rsidP="00B32DE4">
      <w:pPr>
        <w:ind w:left="226"/>
        <w:rPr>
          <w:rFonts w:ascii="David" w:hAnsi="David"/>
          <w:rtl/>
        </w:rPr>
      </w:pPr>
      <w:r w:rsidRPr="00DA3F7D">
        <w:rPr>
          <w:rFonts w:ascii="David" w:hAnsi="David" w:hint="cs"/>
          <w:rtl/>
        </w:rPr>
        <w:t>ב</w:t>
      </w:r>
      <w:r w:rsidR="00E56EF1" w:rsidRPr="00DA3F7D">
        <w:rPr>
          <w:rFonts w:ascii="David" w:hAnsi="David"/>
          <w:rtl/>
        </w:rPr>
        <w:t>רע"פ 8182/18</w:t>
      </w:r>
      <w:r w:rsidRPr="00DA3F7D">
        <w:rPr>
          <w:rFonts w:ascii="David" w:hAnsi="David" w:hint="cs"/>
          <w:rtl/>
        </w:rPr>
        <w:t xml:space="preserve"> </w:t>
      </w:r>
      <w:r w:rsidRPr="00DA3F7D">
        <w:rPr>
          <w:rFonts w:ascii="David" w:hAnsi="David" w:hint="cs"/>
          <w:b/>
          <w:bCs/>
          <w:rtl/>
        </w:rPr>
        <w:t>מושיא</w:t>
      </w:r>
      <w:r w:rsidRPr="00D3597F">
        <w:rPr>
          <w:rFonts w:ascii="David" w:hAnsi="David" w:hint="cs"/>
          <w:b/>
          <w:bCs/>
          <w:rtl/>
        </w:rPr>
        <w:t xml:space="preserve"> נ' מדינת ישראל</w:t>
      </w:r>
      <w:r w:rsidRPr="00D3597F">
        <w:rPr>
          <w:rFonts w:ascii="David" w:hAnsi="David" w:hint="cs"/>
          <w:rtl/>
        </w:rPr>
        <w:t xml:space="preserve"> (18.2.20) </w:t>
      </w:r>
      <w:r>
        <w:rPr>
          <w:rFonts w:ascii="David" w:hAnsi="David" w:hint="cs"/>
          <w:rtl/>
        </w:rPr>
        <w:t xml:space="preserve">קבעה כב' </w:t>
      </w:r>
      <w:r w:rsidRPr="00D3597F">
        <w:rPr>
          <w:rFonts w:ascii="David" w:hAnsi="David" w:hint="cs"/>
          <w:rtl/>
        </w:rPr>
        <w:t>השופטת ברק ארז</w:t>
      </w:r>
      <w:r>
        <w:rPr>
          <w:rFonts w:ascii="David" w:hAnsi="David" w:hint="cs"/>
          <w:rtl/>
        </w:rPr>
        <w:t xml:space="preserve"> את הדברים הבאים : </w:t>
      </w:r>
    </w:p>
    <w:p w14:paraId="13379BD5" w14:textId="77777777" w:rsidR="00B32DE4" w:rsidRPr="00853B33" w:rsidRDefault="00000000" w:rsidP="00B32DE4">
      <w:pPr>
        <w:pStyle w:val="ruller4"/>
        <w:shd w:val="clear" w:color="auto" w:fill="FFFFFF"/>
        <w:bidi/>
        <w:spacing w:before="0" w:beforeAutospacing="0" w:after="0" w:afterAutospacing="0" w:line="330" w:lineRule="atLeast"/>
        <w:ind w:left="360" w:right="567" w:firstLine="576"/>
        <w:jc w:val="both"/>
        <w:rPr>
          <w:rFonts w:ascii="Arial" w:hAnsi="Arial" w:cs="Arial"/>
          <w:b/>
          <w:bCs/>
          <w:color w:val="000000"/>
          <w:spacing w:val="10"/>
          <w:sz w:val="22"/>
          <w:szCs w:val="22"/>
          <w:rtl/>
        </w:rPr>
      </w:pPr>
      <w:r w:rsidRPr="00853B33">
        <w:rPr>
          <w:rFonts w:ascii="FrankRuehl" w:hAnsi="FrankRuehl" w:cs="FrankRuehl" w:hint="cs"/>
          <w:b/>
          <w:bCs/>
          <w:color w:val="000000"/>
          <w:spacing w:val="10"/>
          <w:sz w:val="28"/>
          <w:szCs w:val="28"/>
          <w:rtl/>
        </w:rPr>
        <w:t>42.</w:t>
      </w:r>
      <w:r w:rsidR="00E56EF1">
        <w:rPr>
          <w:rFonts w:ascii="FrankRuehl" w:hAnsi="FrankRuehl" w:cs="FrankRuehl"/>
          <w:b/>
          <w:bCs/>
          <w:color w:val="000000"/>
          <w:spacing w:val="10"/>
          <w:sz w:val="28"/>
          <w:szCs w:val="28"/>
          <w:rtl/>
        </w:rPr>
        <w:t xml:space="preserve"> </w:t>
      </w:r>
      <w:r w:rsidRPr="00853B33">
        <w:rPr>
          <w:rFonts w:ascii="FrankRuehl" w:hAnsi="FrankRuehl" w:cs="FrankRuehl"/>
          <w:b/>
          <w:bCs/>
          <w:color w:val="000000"/>
          <w:spacing w:val="10"/>
          <w:sz w:val="28"/>
          <w:szCs w:val="28"/>
          <w:rtl/>
        </w:rPr>
        <w:t>אכן, ישנם הבדלי גישות ביחס להיקף הראוי של השימוש בתקיפה עקיפה, וברי כי כלי זה כרוך גם במעין עשיית דין עצמית. אולם, השיקול העומד מנגד, שעניינו החשש מפני מתן תוקף לפעולה בלתי חוקית לכאורה של השלטון, הוא משמעותי וכבד משקל. האיזון בין שיקולים אלה עשוי להשתנות בהתאם לנסיבות. אולם, לעמדתי אין ספק שהעמדה לדין פלילי מכוח נורמה פלילית הקבועה בחקיקת משנה היא המקרה הגרעיני המצדיק תקיפה עקיפה. זאת, לנוכח המחיר הכבד הגלום בהרשעה בפלילים, שדבקה בה סטיגמה מוסרית והיא עשויה להוביל לשלילת חירותו של אדם. כאשר מדובר באיסור שאף לא נקבע בחקיקה ראשית כי אם בחקיקת משנה (ואף בימים שבהם לא נדרש אישורה של הכנסת, כפי שהוסבר) – זכות התקיפה מקבלת משנה תוקף.</w:t>
      </w:r>
    </w:p>
    <w:p w14:paraId="5761EB88" w14:textId="0BA861B3" w:rsidR="00B32DE4" w:rsidRPr="00853B33" w:rsidRDefault="00000000" w:rsidP="00B32DE4">
      <w:pPr>
        <w:pStyle w:val="ruller4"/>
        <w:shd w:val="clear" w:color="auto" w:fill="FFFFFF"/>
        <w:bidi/>
        <w:spacing w:before="0" w:beforeAutospacing="0" w:after="0" w:afterAutospacing="0" w:line="330" w:lineRule="atLeast"/>
        <w:ind w:left="360" w:right="567" w:firstLine="576"/>
        <w:jc w:val="both"/>
        <w:rPr>
          <w:rFonts w:ascii="Arial" w:hAnsi="Arial" w:cs="Arial"/>
          <w:b/>
          <w:bCs/>
          <w:color w:val="000000"/>
          <w:spacing w:val="10"/>
          <w:sz w:val="22"/>
          <w:szCs w:val="22"/>
        </w:rPr>
      </w:pPr>
      <w:r w:rsidRPr="00853B33">
        <w:rPr>
          <w:rFonts w:ascii="FrankRuehl" w:hAnsi="FrankRuehl" w:cs="FrankRuehl"/>
          <w:b/>
          <w:bCs/>
          <w:color w:val="000000"/>
          <w:spacing w:val="10"/>
          <w:sz w:val="28"/>
          <w:szCs w:val="28"/>
          <w:rtl/>
        </w:rPr>
        <w:br/>
        <w:t xml:space="preserve">43. </w:t>
      </w:r>
      <w:r w:rsidR="00E56EF1">
        <w:rPr>
          <w:rFonts w:ascii="FrankRuehl" w:hAnsi="FrankRuehl" w:cs="FrankRuehl"/>
          <w:b/>
          <w:bCs/>
          <w:color w:val="000000"/>
          <w:spacing w:val="10"/>
          <w:sz w:val="28"/>
          <w:szCs w:val="28"/>
          <w:rtl/>
        </w:rPr>
        <w:t xml:space="preserve">    </w:t>
      </w:r>
      <w:r w:rsidRPr="00853B33">
        <w:rPr>
          <w:rFonts w:ascii="FrankRuehl" w:hAnsi="FrankRuehl" w:cs="FrankRuehl"/>
          <w:b/>
          <w:bCs/>
          <w:color w:val="000000"/>
          <w:spacing w:val="10"/>
          <w:sz w:val="28"/>
          <w:szCs w:val="28"/>
          <w:rtl/>
        </w:rPr>
        <w:t xml:space="preserve"> למעשה, השארת הדלת פתוחה לתקיפה עקיפה בהליכים פליליים שבהם טענות ההגנה מכוונת כנגד נורמה כללית היא "דרך המלך" הנוהגת בפסיקתו של בית משפט זה מראשיתה, ובכלל זה בפסקי דין שהפכו בינתיים נכסי צאן ברזל</w:t>
      </w:r>
      <w:r w:rsidR="00E56EF1">
        <w:rPr>
          <w:rFonts w:ascii="FrankRuehl" w:hAnsi="FrankRuehl" w:cs="FrankRuehl"/>
          <w:b/>
          <w:bCs/>
          <w:color w:val="000000"/>
          <w:spacing w:val="10"/>
          <w:sz w:val="28"/>
          <w:szCs w:val="28"/>
          <w:rtl/>
        </w:rPr>
        <w:t xml:space="preserve"> </w:t>
      </w:r>
      <w:r w:rsidRPr="00853B33">
        <w:rPr>
          <w:rFonts w:ascii="FrankRuehl" w:hAnsi="FrankRuehl" w:cs="FrankRuehl"/>
          <w:b/>
          <w:bCs/>
          <w:color w:val="000000"/>
          <w:spacing w:val="10"/>
          <w:sz w:val="28"/>
          <w:szCs w:val="28"/>
          <w:rtl/>
        </w:rPr>
        <w:t>(ראו:</w:t>
      </w:r>
      <w:r w:rsidR="00E56EF1">
        <w:rPr>
          <w:rFonts w:ascii="FrankRuehl" w:hAnsi="FrankRuehl" w:cs="FrankRuehl"/>
          <w:b/>
          <w:bCs/>
          <w:color w:val="000000"/>
          <w:spacing w:val="10"/>
          <w:sz w:val="28"/>
          <w:szCs w:val="28"/>
          <w:rtl/>
        </w:rPr>
        <w:t xml:space="preserve"> </w:t>
      </w:r>
      <w:r w:rsidR="00E56EF1" w:rsidRPr="00DA3F7D">
        <w:rPr>
          <w:rFonts w:ascii="FrankRuehl" w:hAnsi="FrankRuehl" w:cs="FrankRuehl"/>
          <w:b/>
          <w:bCs/>
          <w:spacing w:val="10"/>
          <w:sz w:val="28"/>
          <w:szCs w:val="28"/>
          <w:rtl/>
        </w:rPr>
        <w:t>ע"פ 213/56</w:t>
      </w:r>
      <w:r w:rsidRPr="00DA3F7D">
        <w:rPr>
          <w:rFonts w:ascii="FrankRuehl" w:hAnsi="FrankRuehl" w:cs="FrankRuehl"/>
          <w:b/>
          <w:bCs/>
          <w:spacing w:val="10"/>
          <w:sz w:val="28"/>
          <w:szCs w:val="28"/>
          <w:rtl/>
        </w:rPr>
        <w:t xml:space="preserve"> היועץ המשפטי לממשלה נ' אלכסנדרוביץ, פ"ד יא</w:t>
      </w:r>
      <w:r w:rsidR="00E56EF1" w:rsidRPr="00DA3F7D">
        <w:rPr>
          <w:rFonts w:ascii="FrankRuehl" w:hAnsi="FrankRuehl" w:cs="FrankRuehl"/>
          <w:b/>
          <w:bCs/>
          <w:spacing w:val="10"/>
          <w:sz w:val="28"/>
          <w:szCs w:val="28"/>
          <w:rtl/>
        </w:rPr>
        <w:t xml:space="preserve"> </w:t>
      </w:r>
      <w:r w:rsidRPr="00DA3F7D">
        <w:rPr>
          <w:rFonts w:ascii="FrankRuehl" w:hAnsi="FrankRuehl" w:cs="FrankRuehl"/>
          <w:b/>
          <w:bCs/>
          <w:spacing w:val="10"/>
          <w:sz w:val="28"/>
          <w:szCs w:val="28"/>
          <w:rtl/>
        </w:rPr>
        <w:t>695 (1957);</w:t>
      </w:r>
      <w:r w:rsidR="00E56EF1" w:rsidRPr="00DA3F7D">
        <w:rPr>
          <w:rFonts w:ascii="FrankRuehl" w:hAnsi="FrankRuehl" w:cs="FrankRuehl"/>
          <w:b/>
          <w:bCs/>
          <w:spacing w:val="10"/>
          <w:sz w:val="28"/>
          <w:szCs w:val="28"/>
          <w:rtl/>
        </w:rPr>
        <w:t xml:space="preserve"> ע"פ 217/68</w:t>
      </w:r>
      <w:r w:rsidRPr="00DA3F7D">
        <w:rPr>
          <w:rFonts w:ascii="FrankRuehl" w:hAnsi="FrankRuehl" w:cs="FrankRuehl"/>
          <w:b/>
          <w:bCs/>
          <w:spacing w:val="10"/>
          <w:sz w:val="28"/>
          <w:szCs w:val="28"/>
          <w:rtl/>
        </w:rPr>
        <w:t xml:space="preserve"> יזראמקס בע"מ נ' מדינת ישראל, פ"ד כב(2) 343 (1986);</w:t>
      </w:r>
      <w:r w:rsidR="00E56EF1" w:rsidRPr="00DA3F7D">
        <w:rPr>
          <w:rFonts w:ascii="FrankRuehl" w:hAnsi="FrankRuehl" w:cs="FrankRuehl"/>
          <w:b/>
          <w:bCs/>
          <w:spacing w:val="10"/>
          <w:sz w:val="28"/>
          <w:szCs w:val="28"/>
          <w:rtl/>
        </w:rPr>
        <w:t xml:space="preserve"> ע"פ 104/72</w:t>
      </w:r>
      <w:r w:rsidRPr="00DA3F7D">
        <w:rPr>
          <w:rFonts w:ascii="FrankRuehl" w:hAnsi="FrankRuehl" w:cs="FrankRuehl"/>
          <w:b/>
          <w:bCs/>
          <w:spacing w:val="10"/>
          <w:sz w:val="28"/>
          <w:szCs w:val="28"/>
          <w:rtl/>
        </w:rPr>
        <w:t xml:space="preserve"> ראב נ' מדינת ישראל, פ"ד כו(2) 412, 417 (1972);</w:t>
      </w:r>
      <w:r w:rsidR="00E56EF1" w:rsidRPr="00DA3F7D">
        <w:rPr>
          <w:rFonts w:ascii="FrankRuehl" w:hAnsi="FrankRuehl" w:cs="FrankRuehl"/>
          <w:b/>
          <w:bCs/>
          <w:spacing w:val="10"/>
          <w:sz w:val="28"/>
          <w:szCs w:val="28"/>
          <w:rtl/>
        </w:rPr>
        <w:t xml:space="preserve"> רע"פ 8135/07 </w:t>
      </w:r>
      <w:r w:rsidRPr="00DA3F7D">
        <w:rPr>
          <w:rFonts w:ascii="Miriam" w:hAnsi="Miriam" w:cs="Miriam"/>
          <w:b/>
          <w:bCs/>
          <w:rtl/>
        </w:rPr>
        <w:t>גורן נ' מדינת ישראל</w:t>
      </w:r>
      <w:r w:rsidR="00E56EF1" w:rsidRPr="00DA3F7D">
        <w:rPr>
          <w:rFonts w:ascii="FrankRuehl" w:hAnsi="FrankRuehl" w:cs="FrankRuehl"/>
          <w:b/>
          <w:bCs/>
          <w:spacing w:val="10"/>
          <w:sz w:val="28"/>
          <w:szCs w:val="28"/>
          <w:rtl/>
        </w:rPr>
        <w:t xml:space="preserve"> </w:t>
      </w:r>
      <w:r w:rsidRPr="00DA3F7D">
        <w:rPr>
          <w:rFonts w:ascii="FrankRuehl" w:hAnsi="FrankRuehl" w:cs="FrankRuehl"/>
          <w:b/>
          <w:bCs/>
          <w:spacing w:val="10"/>
          <w:sz w:val="28"/>
          <w:szCs w:val="28"/>
          <w:rtl/>
        </w:rPr>
        <w:t>(11.02.2009);</w:t>
      </w:r>
      <w:r w:rsidR="00E56EF1" w:rsidRPr="00DA3F7D">
        <w:rPr>
          <w:rFonts w:ascii="FrankRuehl" w:hAnsi="FrankRuehl" w:cs="FrankRuehl"/>
          <w:b/>
          <w:bCs/>
          <w:spacing w:val="10"/>
          <w:sz w:val="28"/>
          <w:szCs w:val="28"/>
          <w:rtl/>
        </w:rPr>
        <w:t xml:space="preserve"> רע"פ 62/11 </w:t>
      </w:r>
      <w:r w:rsidRPr="00DA3F7D">
        <w:rPr>
          <w:rFonts w:ascii="Miriam" w:hAnsi="Miriam" w:cs="Miriam"/>
          <w:b/>
          <w:bCs/>
          <w:rtl/>
        </w:rPr>
        <w:t>מוחתסב נ' מדינת ישראל</w:t>
      </w:r>
      <w:r w:rsidRPr="00DA3F7D">
        <w:rPr>
          <w:rFonts w:ascii="FrankRuehl" w:hAnsi="FrankRuehl" w:cs="FrankRuehl"/>
          <w:b/>
          <w:bCs/>
          <w:spacing w:val="10"/>
          <w:sz w:val="28"/>
          <w:szCs w:val="28"/>
          <w:rtl/>
        </w:rPr>
        <w:t>,</w:t>
      </w:r>
      <w:r w:rsidR="00E56EF1" w:rsidRPr="00DA3F7D">
        <w:rPr>
          <w:rFonts w:ascii="FrankRuehl" w:hAnsi="FrankRuehl" w:cs="FrankRuehl"/>
          <w:b/>
          <w:bCs/>
          <w:spacing w:val="10"/>
          <w:sz w:val="28"/>
          <w:szCs w:val="28"/>
          <w:rtl/>
        </w:rPr>
        <w:t xml:space="preserve"> </w:t>
      </w:r>
      <w:r w:rsidRPr="00DA3F7D">
        <w:rPr>
          <w:rFonts w:ascii="FrankRuehl" w:hAnsi="FrankRuehl" w:cs="FrankRuehl"/>
          <w:b/>
          <w:bCs/>
          <w:spacing w:val="10"/>
          <w:sz w:val="28"/>
          <w:szCs w:val="28"/>
          <w:rtl/>
        </w:rPr>
        <w:t>פסקה 3 לפסק דינו של השופט</w:t>
      </w:r>
      <w:r w:rsidR="00E56EF1" w:rsidRPr="00DA3F7D">
        <w:rPr>
          <w:rFonts w:ascii="Miriam" w:hAnsi="Miriam" w:cs="Miriam"/>
          <w:b/>
          <w:bCs/>
          <w:rtl/>
        </w:rPr>
        <w:t xml:space="preserve"> </w:t>
      </w:r>
      <w:r w:rsidRPr="00DA3F7D">
        <w:rPr>
          <w:rFonts w:ascii="Miriam" w:hAnsi="Miriam" w:cs="Miriam"/>
          <w:b/>
          <w:bCs/>
          <w:rtl/>
        </w:rPr>
        <w:t>י' עמית</w:t>
      </w:r>
      <w:r w:rsidR="00E56EF1" w:rsidRPr="00DA3F7D">
        <w:rPr>
          <w:rFonts w:ascii="FrankRuehl" w:hAnsi="FrankRuehl" w:cs="FrankRuehl"/>
          <w:b/>
          <w:bCs/>
          <w:spacing w:val="10"/>
          <w:sz w:val="28"/>
          <w:szCs w:val="28"/>
          <w:rtl/>
        </w:rPr>
        <w:t xml:space="preserve"> </w:t>
      </w:r>
      <w:r w:rsidRPr="00DA3F7D">
        <w:rPr>
          <w:rFonts w:ascii="FrankRuehl" w:hAnsi="FrankRuehl" w:cs="FrankRuehl"/>
          <w:b/>
          <w:bCs/>
          <w:spacing w:val="10"/>
          <w:sz w:val="28"/>
          <w:szCs w:val="28"/>
          <w:rtl/>
        </w:rPr>
        <w:t>(7</w:t>
      </w:r>
      <w:r w:rsidRPr="00853B33">
        <w:rPr>
          <w:rFonts w:ascii="FrankRuehl" w:hAnsi="FrankRuehl" w:cs="FrankRuehl"/>
          <w:b/>
          <w:bCs/>
          <w:color w:val="000000"/>
          <w:spacing w:val="10"/>
          <w:sz w:val="28"/>
          <w:szCs w:val="28"/>
          <w:rtl/>
        </w:rPr>
        <w:t>.3.2013)).</w:t>
      </w:r>
    </w:p>
    <w:p w14:paraId="6295A03D" w14:textId="77777777" w:rsidR="00B32DE4" w:rsidRPr="00F96974" w:rsidRDefault="00B32DE4" w:rsidP="00B32DE4">
      <w:pPr>
        <w:pStyle w:val="ruller4"/>
        <w:shd w:val="clear" w:color="auto" w:fill="FFFFFF"/>
        <w:bidi/>
        <w:spacing w:before="0" w:beforeAutospacing="0" w:after="0" w:afterAutospacing="0" w:line="330" w:lineRule="atLeast"/>
        <w:ind w:left="360"/>
        <w:jc w:val="both"/>
        <w:rPr>
          <w:rFonts w:ascii="Arial" w:hAnsi="Arial" w:cs="Arial"/>
          <w:color w:val="000000"/>
          <w:spacing w:val="10"/>
          <w:sz w:val="22"/>
          <w:szCs w:val="22"/>
        </w:rPr>
      </w:pPr>
    </w:p>
    <w:p w14:paraId="21312A37" w14:textId="77777777" w:rsidR="00B32DE4" w:rsidRDefault="00E56EF1" w:rsidP="00B32DE4">
      <w:pPr>
        <w:pStyle w:val="ruller4"/>
        <w:shd w:val="clear" w:color="auto" w:fill="FFFFFF"/>
        <w:bidi/>
        <w:spacing w:before="0" w:beforeAutospacing="0" w:after="0" w:afterAutospacing="0" w:line="330" w:lineRule="atLeast"/>
        <w:ind w:left="720"/>
        <w:jc w:val="both"/>
        <w:rPr>
          <w:rFonts w:ascii="David" w:hAnsi="David" w:cs="David"/>
        </w:rPr>
      </w:pPr>
      <w:r>
        <w:rPr>
          <w:rFonts w:ascii="FrankRuehl" w:hAnsi="FrankRuehl" w:cs="FrankRuehl"/>
          <w:color w:val="000000"/>
          <w:spacing w:val="10"/>
          <w:sz w:val="28"/>
          <w:szCs w:val="28"/>
          <w:rtl/>
        </w:rPr>
        <w:t xml:space="preserve"> </w:t>
      </w:r>
    </w:p>
    <w:p w14:paraId="762D4297" w14:textId="77777777" w:rsidR="00B32DE4" w:rsidRDefault="00000000" w:rsidP="00B32DE4">
      <w:pPr>
        <w:pStyle w:val="1"/>
        <w:numPr>
          <w:ilvl w:val="0"/>
          <w:numId w:val="1"/>
        </w:numPr>
        <w:spacing w:line="360" w:lineRule="auto"/>
        <w:ind w:left="226"/>
        <w:jc w:val="both"/>
        <w:rPr>
          <w:rFonts w:ascii="David" w:hAnsi="David" w:cs="David"/>
          <w:sz w:val="24"/>
          <w:szCs w:val="24"/>
        </w:rPr>
      </w:pPr>
      <w:r w:rsidRPr="00253C2C">
        <w:rPr>
          <w:rFonts w:ascii="David" w:hAnsi="David" w:cs="David" w:hint="cs"/>
          <w:sz w:val="24"/>
          <w:szCs w:val="24"/>
          <w:rtl/>
        </w:rPr>
        <w:t>עניינו של המערער אינו מעלה ענין עקרוני ורחב שצף מתוך המקרה הפרטי שלו. המערער לא הציג נתון לפיו העיריה לא שמה בכלל תמרורים בניגוד להוראות החוק. הוא לא טוען שהחלטת העיריה איפה לשים תמרורים ואיפה לא היא החלטה נגועה במניעים זרים או בשיקולים בלתי ענייניים</w:t>
      </w:r>
      <w:r>
        <w:rPr>
          <w:rFonts w:ascii="David" w:hAnsi="David" w:cs="David" w:hint="cs"/>
          <w:sz w:val="24"/>
          <w:szCs w:val="24"/>
          <w:rtl/>
        </w:rPr>
        <w:t xml:space="preserve"> והוא לא מראה שההחלטה מפלה בין שווים</w:t>
      </w:r>
      <w:r w:rsidRPr="00253C2C">
        <w:rPr>
          <w:rFonts w:ascii="David" w:hAnsi="David" w:cs="David" w:hint="cs"/>
          <w:sz w:val="24"/>
          <w:szCs w:val="24"/>
          <w:rtl/>
        </w:rPr>
        <w:t xml:space="preserve">. </w:t>
      </w:r>
      <w:r>
        <w:rPr>
          <w:rFonts w:ascii="David" w:hAnsi="David" w:cs="David" w:hint="cs"/>
          <w:sz w:val="24"/>
          <w:szCs w:val="24"/>
          <w:rtl/>
        </w:rPr>
        <w:t xml:space="preserve">כל הדיון כולו מוקדש לעניינו הפרטי של המערער. </w:t>
      </w:r>
      <w:r w:rsidRPr="00253C2C">
        <w:rPr>
          <w:rFonts w:ascii="David" w:hAnsi="David" w:cs="David" w:hint="cs"/>
          <w:sz w:val="24"/>
          <w:szCs w:val="24"/>
          <w:rtl/>
        </w:rPr>
        <w:t>הוא מבקש שהעיריה תוכיח במקרה הפרטני שלו שההחלט</w:t>
      </w:r>
      <w:r>
        <w:rPr>
          <w:rFonts w:ascii="David" w:hAnsi="David" w:cs="David" w:hint="cs"/>
          <w:sz w:val="24"/>
          <w:szCs w:val="24"/>
          <w:rtl/>
        </w:rPr>
        <w:t>ת</w:t>
      </w:r>
      <w:r w:rsidRPr="00253C2C">
        <w:rPr>
          <w:rFonts w:ascii="David" w:hAnsi="David" w:cs="David" w:hint="cs"/>
          <w:sz w:val="24"/>
          <w:szCs w:val="24"/>
          <w:rtl/>
        </w:rPr>
        <w:t>ה שלא לבחור את התחנה הזו כמתאימה היא החלטה שיש לבטל. לבדיקה כזו אין הצדקה במסגרת ניהול הליך בבית המשפט לעניינים מקומיים. לכך אוסיף כי עניינו של המערער אינו מקים חשש ל</w:t>
      </w:r>
      <w:r>
        <w:rPr>
          <w:rFonts w:ascii="David" w:hAnsi="David" w:cs="David" w:hint="cs"/>
          <w:sz w:val="24"/>
          <w:szCs w:val="24"/>
          <w:rtl/>
        </w:rPr>
        <w:t>'</w:t>
      </w:r>
      <w:r w:rsidRPr="00253C2C">
        <w:rPr>
          <w:rFonts w:ascii="David" w:hAnsi="David" w:cs="David" w:hint="cs"/>
          <w:sz w:val="24"/>
          <w:szCs w:val="24"/>
          <w:rtl/>
        </w:rPr>
        <w:t>מחיר כבד</w:t>
      </w:r>
      <w:r>
        <w:rPr>
          <w:rFonts w:ascii="David" w:hAnsi="David" w:cs="David" w:hint="cs"/>
          <w:sz w:val="24"/>
          <w:szCs w:val="24"/>
          <w:rtl/>
        </w:rPr>
        <w:t>'</w:t>
      </w:r>
      <w:r w:rsidRPr="00253C2C">
        <w:rPr>
          <w:rFonts w:ascii="David" w:hAnsi="David" w:cs="David" w:hint="cs"/>
          <w:sz w:val="24"/>
          <w:szCs w:val="24"/>
          <w:rtl/>
        </w:rPr>
        <w:t xml:space="preserve"> </w:t>
      </w:r>
      <w:r>
        <w:rPr>
          <w:rFonts w:ascii="David" w:hAnsi="David" w:cs="David" w:hint="cs"/>
          <w:sz w:val="24"/>
          <w:szCs w:val="24"/>
          <w:rtl/>
        </w:rPr>
        <w:t>שכן לא מדובר בהרשעה שנכללת בגליון הרישום הפלילי ואין חשש להכתמת המערער או אחרים.</w:t>
      </w:r>
    </w:p>
    <w:p w14:paraId="4160870D" w14:textId="77777777" w:rsidR="00B32DE4" w:rsidRPr="00253C2C" w:rsidRDefault="00000000" w:rsidP="00B32DE4">
      <w:pPr>
        <w:pStyle w:val="1"/>
        <w:spacing w:line="360" w:lineRule="auto"/>
        <w:ind w:left="226"/>
        <w:jc w:val="both"/>
        <w:rPr>
          <w:rFonts w:ascii="David" w:hAnsi="David" w:cs="David"/>
          <w:sz w:val="24"/>
          <w:szCs w:val="24"/>
        </w:rPr>
      </w:pPr>
      <w:r>
        <w:rPr>
          <w:rFonts w:ascii="David" w:hAnsi="David" w:cs="David" w:hint="cs"/>
          <w:sz w:val="24"/>
          <w:szCs w:val="24"/>
          <w:rtl/>
        </w:rPr>
        <w:t xml:space="preserve"> </w:t>
      </w:r>
    </w:p>
    <w:p w14:paraId="2F29E2A7" w14:textId="77777777"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 xml:space="preserve">השאלת איפה הרשות תציב תמרורים ותאפשר חניה בשבת בתחום תחנת אוטובוס מחייבת הסתכלות עירונית רחבה, תכנון תנועה, היכרות עם קווי תחבורה ציבורית או פרטית שנוסעות בשבת ושלל שיקולים שאינם תפקידו של ביהמ"ש לעניינים מקומיים לשקול. טענות לענין הפעלת שיקול הדעת של הרשות בענין זה, מקומן בבית המשפט לעניינים מנהליים. </w:t>
      </w:r>
      <w:r w:rsidRPr="00485427">
        <w:rPr>
          <w:rFonts w:ascii="David" w:hAnsi="David" w:cs="David" w:hint="cs"/>
          <w:sz w:val="24"/>
          <w:szCs w:val="24"/>
          <w:rtl/>
        </w:rPr>
        <w:t>ו</w:t>
      </w:r>
      <w:r>
        <w:rPr>
          <w:rFonts w:ascii="David" w:hAnsi="David" w:cs="David" w:hint="cs"/>
          <w:sz w:val="24"/>
          <w:szCs w:val="24"/>
          <w:rtl/>
        </w:rPr>
        <w:t xml:space="preserve">כפי שקבע </w:t>
      </w:r>
      <w:r w:rsidRPr="00485427">
        <w:rPr>
          <w:rFonts w:ascii="David" w:hAnsi="David" w:cs="David" w:hint="cs"/>
          <w:sz w:val="24"/>
          <w:szCs w:val="24"/>
          <w:rtl/>
        </w:rPr>
        <w:t xml:space="preserve">כב' השופט א.א. לוי </w:t>
      </w:r>
      <w:r>
        <w:rPr>
          <w:rFonts w:ascii="David" w:hAnsi="David" w:cs="David" w:hint="cs"/>
          <w:sz w:val="24"/>
          <w:szCs w:val="24"/>
          <w:rtl/>
        </w:rPr>
        <w:t xml:space="preserve">בענין אהרונוביץ - </w:t>
      </w:r>
      <w:r w:rsidRPr="00485427">
        <w:rPr>
          <w:rFonts w:ascii="David" w:hAnsi="David" w:cs="David" w:hint="cs"/>
          <w:sz w:val="24"/>
          <w:szCs w:val="24"/>
          <w:rtl/>
        </w:rPr>
        <w:t>"ככל שזיהויו של הפגם שנפל יצריך בירור עובדתי ונורמטיבי מקיף יותר, כך יקשה להפקיד את המלאכה בידי ערכאות שאינן מיומנות ביישומו של המשפט המנהלי או שמסגרת הדיון בהן מקשה על קיומו של בירור כאמור".</w:t>
      </w:r>
    </w:p>
    <w:p w14:paraId="74E8EDD7" w14:textId="77777777" w:rsidR="00B32DE4" w:rsidRDefault="00B32DE4" w:rsidP="00B32DE4">
      <w:pPr>
        <w:spacing w:line="360" w:lineRule="auto"/>
        <w:ind w:left="-134"/>
        <w:jc w:val="both"/>
        <w:rPr>
          <w:rFonts w:ascii="David" w:hAnsi="David"/>
          <w:b/>
          <w:bCs/>
          <w:rtl/>
        </w:rPr>
      </w:pPr>
    </w:p>
    <w:p w14:paraId="26F954C2" w14:textId="77777777" w:rsidR="00B32DE4" w:rsidRDefault="00B32DE4" w:rsidP="00B32DE4">
      <w:pPr>
        <w:spacing w:line="360" w:lineRule="auto"/>
        <w:ind w:left="-134"/>
        <w:jc w:val="both"/>
        <w:rPr>
          <w:rFonts w:ascii="David" w:hAnsi="David"/>
          <w:b/>
          <w:bCs/>
          <w:rtl/>
        </w:rPr>
      </w:pPr>
    </w:p>
    <w:p w14:paraId="46354F7F" w14:textId="77777777" w:rsidR="00B32DE4" w:rsidRPr="00253C2C" w:rsidRDefault="00000000" w:rsidP="00B32DE4">
      <w:pPr>
        <w:spacing w:line="360" w:lineRule="auto"/>
        <w:ind w:left="-134"/>
        <w:jc w:val="both"/>
        <w:rPr>
          <w:rFonts w:ascii="David" w:hAnsi="David"/>
          <w:b/>
          <w:bCs/>
        </w:rPr>
      </w:pPr>
      <w:r w:rsidRPr="00253C2C">
        <w:rPr>
          <w:rFonts w:ascii="David" w:hAnsi="David" w:hint="cs"/>
          <w:b/>
          <w:bCs/>
          <w:rtl/>
        </w:rPr>
        <w:t>הסתמכות על מדיניות אכיפה של העירייה</w:t>
      </w:r>
    </w:p>
    <w:p w14:paraId="06379DBF" w14:textId="77777777"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 xml:space="preserve">טענה שלישית של המערער היא הסתמכות על מדיניות האכיפה של עירית תל אביב. לטענה זו לא הונחה תשתית ראייתית מספקת. קשה לומר שפסק דין אהרונוביץ שניתן לפני כמעט שני עשורים ואשר המערער לא הכיר אלא לאחר שקיבל דוח, מהווה בסיס איתן לטענת הסתמכות.   </w:t>
      </w:r>
    </w:p>
    <w:p w14:paraId="1EAB5D5D" w14:textId="77777777" w:rsidR="00B32DE4" w:rsidRPr="008570FE" w:rsidRDefault="00000000" w:rsidP="00B32DE4">
      <w:pPr>
        <w:spacing w:line="360" w:lineRule="auto"/>
        <w:ind w:left="-134"/>
        <w:jc w:val="both"/>
        <w:rPr>
          <w:rFonts w:ascii="David" w:hAnsi="David"/>
        </w:rPr>
      </w:pPr>
      <w:r w:rsidRPr="008570FE">
        <w:rPr>
          <w:rFonts w:ascii="David" w:hAnsi="David" w:hint="cs"/>
          <w:b/>
          <w:bCs/>
          <w:rtl/>
        </w:rPr>
        <w:t>הקנס וההוצאות</w:t>
      </w:r>
    </w:p>
    <w:p w14:paraId="2F297C5F" w14:textId="77777777" w:rsidR="00B32DE4" w:rsidRPr="00D05E88"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גזר הדין שניתן על ידי בית המשפט מנומק היטב ולא מצאתי להתערב בו במסגרת ערעור.</w:t>
      </w:r>
    </w:p>
    <w:p w14:paraId="65951C34" w14:textId="77777777" w:rsidR="00B32DE4" w:rsidRPr="008750C6" w:rsidRDefault="00000000" w:rsidP="00B32DE4">
      <w:pPr>
        <w:spacing w:line="360" w:lineRule="auto"/>
        <w:ind w:left="-134"/>
        <w:jc w:val="both"/>
        <w:rPr>
          <w:rFonts w:ascii="David" w:hAnsi="David"/>
          <w:b/>
          <w:bCs/>
        </w:rPr>
      </w:pPr>
      <w:r w:rsidRPr="008750C6">
        <w:rPr>
          <w:rFonts w:ascii="David" w:hAnsi="David" w:hint="cs"/>
          <w:b/>
          <w:bCs/>
          <w:rtl/>
        </w:rPr>
        <w:t>סוף דבר</w:t>
      </w:r>
    </w:p>
    <w:p w14:paraId="2467F2F9" w14:textId="77777777" w:rsidR="00B32DE4" w:rsidRDefault="00000000" w:rsidP="00B32DE4">
      <w:pPr>
        <w:pStyle w:val="1"/>
        <w:numPr>
          <w:ilvl w:val="0"/>
          <w:numId w:val="1"/>
        </w:numPr>
        <w:spacing w:line="360" w:lineRule="auto"/>
        <w:ind w:left="226"/>
        <w:jc w:val="both"/>
        <w:rPr>
          <w:rFonts w:ascii="David" w:hAnsi="David" w:cs="David"/>
          <w:sz w:val="24"/>
          <w:szCs w:val="24"/>
        </w:rPr>
      </w:pPr>
      <w:r>
        <w:rPr>
          <w:rFonts w:ascii="David" w:hAnsi="David" w:cs="David" w:hint="cs"/>
          <w:sz w:val="24"/>
          <w:szCs w:val="24"/>
          <w:rtl/>
        </w:rPr>
        <w:t>לאחר כל שנאמר - הערעור נדחה.</w:t>
      </w:r>
    </w:p>
    <w:p w14:paraId="42E10C81" w14:textId="77777777" w:rsidR="00B32DE4" w:rsidRPr="008750C6" w:rsidRDefault="00B32DE4" w:rsidP="00B32DE4">
      <w:pPr>
        <w:spacing w:line="360" w:lineRule="auto"/>
        <w:ind w:left="-134"/>
        <w:jc w:val="both"/>
        <w:rPr>
          <w:rFonts w:ascii="David" w:hAnsi="David"/>
          <w:rtl/>
        </w:rPr>
      </w:pPr>
    </w:p>
    <w:p w14:paraId="4EA986BB" w14:textId="77777777" w:rsidR="00B32DE4" w:rsidRPr="006961EB" w:rsidRDefault="00000000" w:rsidP="00B32DE4">
      <w:pPr>
        <w:spacing w:line="360" w:lineRule="auto"/>
        <w:ind w:left="-134"/>
        <w:jc w:val="both"/>
        <w:rPr>
          <w:rFonts w:ascii="David" w:hAnsi="David"/>
        </w:rPr>
      </w:pPr>
      <w:r w:rsidRPr="008750C6">
        <w:rPr>
          <w:rFonts w:ascii="David" w:hAnsi="David" w:hint="cs"/>
          <w:b/>
          <w:bCs/>
          <w:rtl/>
        </w:rPr>
        <w:t>המזכירות</w:t>
      </w:r>
      <w:r w:rsidRPr="008750C6">
        <w:rPr>
          <w:rFonts w:ascii="David" w:hAnsi="David" w:hint="cs"/>
          <w:rtl/>
        </w:rPr>
        <w:t xml:space="preserve"> תודיע לצדדים.</w:t>
      </w:r>
    </w:p>
    <w:p w14:paraId="58A293EA" w14:textId="77777777" w:rsidR="00B32DE4" w:rsidRDefault="00B32DE4" w:rsidP="00B32DE4">
      <w:pPr>
        <w:spacing w:line="360" w:lineRule="auto"/>
        <w:jc w:val="both"/>
        <w:rPr>
          <w:rFonts w:ascii="Arial" w:hAnsi="Arial"/>
          <w:noProof w:val="0"/>
          <w:rtl/>
        </w:rPr>
      </w:pPr>
    </w:p>
    <w:p w14:paraId="70116BFF" w14:textId="77777777" w:rsidR="00B32DE4" w:rsidRDefault="00B32DE4" w:rsidP="00B32DE4">
      <w:pPr>
        <w:spacing w:line="360" w:lineRule="auto"/>
        <w:jc w:val="both"/>
        <w:rPr>
          <w:rFonts w:ascii="Arial" w:hAnsi="Arial"/>
          <w:noProof w:val="0"/>
          <w:rtl/>
        </w:rPr>
      </w:pPr>
    </w:p>
    <w:p w14:paraId="6768F65E" w14:textId="77777777" w:rsidR="00B32DE4" w:rsidRDefault="00E56EF1" w:rsidP="00B32DE4">
      <w:pPr>
        <w:spacing w:line="360" w:lineRule="auto"/>
        <w:jc w:val="both"/>
        <w:rPr>
          <w:rFonts w:ascii="Arial" w:hAnsi="Arial"/>
          <w:noProof w:val="0"/>
          <w:rtl/>
        </w:rPr>
      </w:pPr>
      <w:bookmarkStart w:id="8" w:name="Nitan"/>
      <w:r>
        <w:rPr>
          <w:rFonts w:ascii="Arial" w:hAnsi="Arial"/>
          <w:noProof w:val="0"/>
          <w:rtl/>
        </w:rPr>
        <w:t xml:space="preserve">ניתן היום,  כ"ג תשרי תשפ"ו, 15 אוקטובר 2025, בהעדר הצדדים. </w:t>
      </w:r>
      <w:bookmarkEnd w:id="8"/>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noProof w:val="0"/>
          <w:rtl/>
        </w:rPr>
        <w:t xml:space="preserve"> </w:t>
      </w:r>
    </w:p>
    <w:p w14:paraId="40C0612B" w14:textId="77777777" w:rsidR="00B32DE4" w:rsidRDefault="00B32DE4" w:rsidP="00B32DE4">
      <w:pPr>
        <w:spacing w:line="360" w:lineRule="auto"/>
        <w:ind w:left="3600" w:firstLine="720"/>
      </w:pPr>
    </w:p>
    <w:p w14:paraId="2F5C937A" w14:textId="77777777" w:rsidR="00B32DE4" w:rsidRDefault="00B32DE4" w:rsidP="00B32DE4">
      <w:pPr>
        <w:spacing w:line="360" w:lineRule="auto"/>
        <w:ind w:left="3600" w:firstLine="720"/>
        <w:rPr>
          <w:rFonts w:ascii="Arial" w:hAnsi="Arial"/>
          <w:noProof w:val="0"/>
          <w:rtl/>
        </w:rPr>
      </w:pPr>
    </w:p>
    <w:p w14:paraId="0D927588" w14:textId="77777777" w:rsidR="00B32DE4" w:rsidRDefault="00B32DE4" w:rsidP="00B32DE4">
      <w:pPr>
        <w:spacing w:line="360" w:lineRule="auto"/>
        <w:jc w:val="both"/>
        <w:rPr>
          <w:rFonts w:ascii="Arial" w:hAnsi="Arial"/>
          <w:noProof w:val="0"/>
          <w:rtl/>
        </w:rPr>
      </w:pPr>
    </w:p>
    <w:p w14:paraId="46B39D73" w14:textId="77777777" w:rsidR="00B32DE4" w:rsidRDefault="00B32DE4" w:rsidP="00B32DE4">
      <w:pPr>
        <w:spacing w:line="360" w:lineRule="auto"/>
        <w:jc w:val="both"/>
        <w:rPr>
          <w:rFonts w:ascii="Arial" w:hAnsi="Arial"/>
          <w:noProof w:val="0"/>
          <w:rtl/>
        </w:rPr>
      </w:pPr>
    </w:p>
    <w:p w14:paraId="73AC23B5" w14:textId="77777777" w:rsidR="00E56EF1" w:rsidRDefault="00E56EF1" w:rsidP="00E56EF1">
      <w:pPr>
        <w:rPr>
          <w:rtl/>
        </w:rPr>
      </w:pPr>
    </w:p>
    <w:p w14:paraId="14FA5238" w14:textId="55B8D27D" w:rsidR="00E56EF1" w:rsidRPr="00E56EF1" w:rsidRDefault="00E56EF1" w:rsidP="001C0226">
      <w:pPr>
        <w:rPr>
          <w:color w:val="0000FF"/>
          <w:u w:val="single"/>
        </w:rPr>
      </w:pPr>
    </w:p>
    <w:sectPr w:rsidR="00E56EF1" w:rsidRPr="00E56EF1" w:rsidSect="001C0226">
      <w:headerReference w:type="even" r:id="rId7"/>
      <w:headerReference w:type="default" r:id="rId8"/>
      <w:footerReference w:type="even" r:id="rId9"/>
      <w:footerReference w:type="default" r:id="rId10"/>
      <w:pgSz w:w="11907" w:h="16840" w:code="9"/>
      <w:pgMar w:top="1701" w:right="1800" w:bottom="1440" w:left="1800" w:header="720" w:footer="737"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73EC" w14:textId="77777777" w:rsidR="0080256F" w:rsidRDefault="0080256F">
      <w:r>
        <w:separator/>
      </w:r>
    </w:p>
  </w:endnote>
  <w:endnote w:type="continuationSeparator" w:id="0">
    <w:p w14:paraId="5C3418CF" w14:textId="77777777" w:rsidR="0080256F" w:rsidRDefault="0080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DC06" w14:textId="77777777" w:rsidR="001C0226" w:rsidRDefault="00000000" w:rsidP="001C0226">
    <w:pPr>
      <w:pStyle w:val="a5"/>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rtl/>
      </w:rPr>
      <w:t>4</w:t>
    </w:r>
    <w:r>
      <w:rPr>
        <w:rFonts w:ascii="FrankRuehl" w:hAnsi="FrankRuehl" w:cs="FrankRuehl"/>
        <w:rtl/>
      </w:rPr>
      <w:fldChar w:fldCharType="end"/>
    </w:r>
  </w:p>
  <w:p w14:paraId="51CAADF7" w14:textId="525B4CF1" w:rsidR="00E56EF1" w:rsidRPr="001C0226" w:rsidRDefault="00DA3F7D" w:rsidP="001C0226">
    <w:pPr>
      <w:pStyle w:val="a5"/>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color w:val="000000"/>
      </w:rPr>
      <w:drawing>
        <wp:inline distT="0" distB="0" distL="0" distR="0" wp14:anchorId="2F1668C0" wp14:editId="083E1FEC">
          <wp:extent cx="552450" cy="228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0EF5" w14:textId="77777777" w:rsidR="001C0226" w:rsidRDefault="00000000" w:rsidP="001C0226">
    <w:pPr>
      <w:pStyle w:val="a5"/>
      <w:jc w:val="center"/>
      <w:rPr>
        <w:rStyle w:val="a8"/>
        <w:rFonts w:ascii="FrankRuehl" w:hAnsi="FrankRuehl" w:cs="FrankRuehl"/>
        <w:rtl/>
      </w:rPr>
    </w:pPr>
    <w:r>
      <w:rPr>
        <w:rStyle w:val="a8"/>
        <w:rFonts w:ascii="FrankRuehl" w:hAnsi="FrankRuehl" w:cs="FrankRuehl"/>
        <w:rtl/>
      </w:rPr>
      <w:fldChar w:fldCharType="begin"/>
    </w:r>
    <w:r>
      <w:rPr>
        <w:rStyle w:val="a8"/>
        <w:rFonts w:ascii="FrankRuehl" w:hAnsi="FrankRuehl" w:cs="FrankRuehl"/>
        <w:rtl/>
      </w:rPr>
      <w:instrText xml:space="preserve"> </w:instrText>
    </w:r>
    <w:r>
      <w:rPr>
        <w:rStyle w:val="a8"/>
        <w:rFonts w:ascii="FrankRuehl" w:hAnsi="FrankRuehl" w:cs="FrankRuehl" w:hint="cs"/>
      </w:rPr>
      <w:instrText>PAGE</w:instrText>
    </w:r>
    <w:r>
      <w:rPr>
        <w:rStyle w:val="a8"/>
        <w:rFonts w:ascii="FrankRuehl" w:hAnsi="FrankRuehl" w:cs="FrankRuehl" w:hint="cs"/>
        <w:rtl/>
      </w:rPr>
      <w:instrText xml:space="preserve">  \* </w:instrText>
    </w:r>
    <w:r>
      <w:rPr>
        <w:rStyle w:val="a8"/>
        <w:rFonts w:ascii="FrankRuehl" w:hAnsi="FrankRuehl" w:cs="FrankRuehl" w:hint="cs"/>
      </w:rPr>
      <w:instrText>MERGEFORMAT</w:instrText>
    </w:r>
    <w:r>
      <w:rPr>
        <w:rStyle w:val="a8"/>
        <w:rFonts w:ascii="FrankRuehl" w:hAnsi="FrankRuehl" w:cs="FrankRuehl"/>
        <w:rtl/>
      </w:rPr>
      <w:instrText xml:space="preserve"> </w:instrText>
    </w:r>
    <w:r>
      <w:rPr>
        <w:rStyle w:val="a8"/>
        <w:rFonts w:ascii="FrankRuehl" w:hAnsi="FrankRuehl" w:cs="FrankRuehl"/>
        <w:rtl/>
      </w:rPr>
      <w:fldChar w:fldCharType="separate"/>
    </w:r>
    <w:r w:rsidR="00C47E05">
      <w:rPr>
        <w:rStyle w:val="a8"/>
        <w:rFonts w:ascii="FrankRuehl" w:hAnsi="FrankRuehl" w:cs="FrankRuehl"/>
        <w:rtl/>
      </w:rPr>
      <w:t>4</w:t>
    </w:r>
    <w:r>
      <w:rPr>
        <w:rStyle w:val="a8"/>
        <w:rFonts w:ascii="FrankRuehl" w:hAnsi="FrankRuehl" w:cs="FrankRuehl"/>
        <w:rtl/>
      </w:rPr>
      <w:fldChar w:fldCharType="end"/>
    </w:r>
  </w:p>
  <w:p w14:paraId="1F65A4F9" w14:textId="0E9A4163" w:rsidR="007F4FB3" w:rsidRPr="001C0226" w:rsidRDefault="007F4FB3" w:rsidP="001C0226">
    <w:pPr>
      <w:pStyle w:val="a5"/>
      <w:pBdr>
        <w:top w:val="single" w:sz="4" w:space="1" w:color="auto"/>
        <w:between w:val="single" w:sz="4" w:space="0" w:color="auto"/>
      </w:pBdr>
      <w:spacing w:after="60"/>
      <w:jc w:val="center"/>
      <w:rPr>
        <w:rStyle w:val="a8"/>
        <w:rFonts w:ascii="FrankRuehl" w:hAnsi="FrankRuehl" w:cs="FrankRuehl"/>
        <w:color w:val="00000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11B0" w14:textId="77777777" w:rsidR="0080256F" w:rsidRDefault="0080256F">
      <w:r>
        <w:separator/>
      </w:r>
    </w:p>
  </w:footnote>
  <w:footnote w:type="continuationSeparator" w:id="0">
    <w:p w14:paraId="69D8F459" w14:textId="77777777" w:rsidR="0080256F" w:rsidRDefault="0080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2DD8" w14:textId="77777777" w:rsidR="00E56EF1" w:rsidRPr="001C0226" w:rsidRDefault="001C0226" w:rsidP="001C0226">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עפמק (ת"א) 2235-07-25</w:t>
    </w:r>
    <w:r>
      <w:rPr>
        <w:rFonts w:ascii="David" w:hAnsi="David"/>
        <w:color w:val="000000"/>
        <w:sz w:val="22"/>
        <w:szCs w:val="22"/>
        <w:rtl/>
      </w:rPr>
      <w:tab/>
      <w:t xml:space="preserve"> אופיר סטר נ' עיריית תל אביב-יפו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758E" w14:textId="77777777" w:rsidR="00E56EF1" w:rsidRPr="001C0226" w:rsidRDefault="001C0226" w:rsidP="001C0226">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9" w:name="_Hlk212108408"/>
    <w:bookmarkStart w:id="10" w:name="_Hlk212108409"/>
    <w:bookmarkStart w:id="11" w:name="_Hlk212108410"/>
    <w:bookmarkStart w:id="12" w:name="_Hlk212108411"/>
    <w:r>
      <w:rPr>
        <w:rFonts w:ascii="David" w:hAnsi="David"/>
        <w:color w:val="000000"/>
        <w:sz w:val="22"/>
        <w:szCs w:val="22"/>
        <w:rtl/>
      </w:rPr>
      <w:t>עפמק (ת"א) 2235-07-25</w:t>
    </w:r>
    <w:r>
      <w:rPr>
        <w:rFonts w:ascii="David" w:hAnsi="David"/>
        <w:color w:val="000000"/>
        <w:sz w:val="22"/>
        <w:szCs w:val="22"/>
        <w:rtl/>
      </w:rPr>
      <w:tab/>
      <w:t xml:space="preserve"> אופיר סטר נ' עיריית תל אביב-יפו</w:t>
    </w:r>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966CB"/>
    <w:multiLevelType w:val="hybridMultilevel"/>
    <w:tmpl w:val="32C2AEFC"/>
    <w:lvl w:ilvl="0" w:tplc="EA848C2C">
      <w:start w:val="1"/>
      <w:numFmt w:val="decimal"/>
      <w:lvlText w:val="%1."/>
      <w:lvlJc w:val="left"/>
      <w:pPr>
        <w:ind w:left="720" w:hanging="360"/>
      </w:pPr>
      <w:rPr>
        <w:rFonts w:hint="default"/>
        <w:b w:val="0"/>
        <w:bCs w:val="0"/>
      </w:rPr>
    </w:lvl>
    <w:lvl w:ilvl="1" w:tplc="D94A9142" w:tentative="1">
      <w:start w:val="1"/>
      <w:numFmt w:val="lowerLetter"/>
      <w:lvlText w:val="%2."/>
      <w:lvlJc w:val="left"/>
      <w:pPr>
        <w:ind w:left="1440" w:hanging="360"/>
      </w:pPr>
    </w:lvl>
    <w:lvl w:ilvl="2" w:tplc="1EFE4BC8" w:tentative="1">
      <w:start w:val="1"/>
      <w:numFmt w:val="lowerRoman"/>
      <w:lvlText w:val="%3."/>
      <w:lvlJc w:val="right"/>
      <w:pPr>
        <w:ind w:left="2160" w:hanging="180"/>
      </w:pPr>
    </w:lvl>
    <w:lvl w:ilvl="3" w:tplc="D006215C" w:tentative="1">
      <w:start w:val="1"/>
      <w:numFmt w:val="decimal"/>
      <w:lvlText w:val="%4."/>
      <w:lvlJc w:val="left"/>
      <w:pPr>
        <w:ind w:left="2880" w:hanging="360"/>
      </w:pPr>
    </w:lvl>
    <w:lvl w:ilvl="4" w:tplc="08CCF8C4" w:tentative="1">
      <w:start w:val="1"/>
      <w:numFmt w:val="lowerLetter"/>
      <w:lvlText w:val="%5."/>
      <w:lvlJc w:val="left"/>
      <w:pPr>
        <w:ind w:left="3600" w:hanging="360"/>
      </w:pPr>
    </w:lvl>
    <w:lvl w:ilvl="5" w:tplc="42484C30" w:tentative="1">
      <w:start w:val="1"/>
      <w:numFmt w:val="lowerRoman"/>
      <w:lvlText w:val="%6."/>
      <w:lvlJc w:val="right"/>
      <w:pPr>
        <w:ind w:left="4320" w:hanging="180"/>
      </w:pPr>
    </w:lvl>
    <w:lvl w:ilvl="6" w:tplc="516E7346" w:tentative="1">
      <w:start w:val="1"/>
      <w:numFmt w:val="decimal"/>
      <w:lvlText w:val="%7."/>
      <w:lvlJc w:val="left"/>
      <w:pPr>
        <w:ind w:left="5040" w:hanging="360"/>
      </w:pPr>
    </w:lvl>
    <w:lvl w:ilvl="7" w:tplc="C11E205C" w:tentative="1">
      <w:start w:val="1"/>
      <w:numFmt w:val="lowerLetter"/>
      <w:lvlText w:val="%8."/>
      <w:lvlJc w:val="left"/>
      <w:pPr>
        <w:ind w:left="5760" w:hanging="360"/>
      </w:pPr>
    </w:lvl>
    <w:lvl w:ilvl="8" w:tplc="CE1EDDF8" w:tentative="1">
      <w:start w:val="1"/>
      <w:numFmt w:val="lowerRoman"/>
      <w:lvlText w:val="%9."/>
      <w:lvlJc w:val="right"/>
      <w:pPr>
        <w:ind w:left="6480" w:hanging="180"/>
      </w:pPr>
    </w:lvl>
  </w:abstractNum>
  <w:num w:numId="1" w16cid:durableId="51866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B32DE4"/>
    <w:rsid w:val="000B30DE"/>
    <w:rsid w:val="00120E5B"/>
    <w:rsid w:val="00156550"/>
    <w:rsid w:val="001C0226"/>
    <w:rsid w:val="00237BAF"/>
    <w:rsid w:val="00253C2C"/>
    <w:rsid w:val="00322869"/>
    <w:rsid w:val="00386464"/>
    <w:rsid w:val="003A39E1"/>
    <w:rsid w:val="00485427"/>
    <w:rsid w:val="00545A9C"/>
    <w:rsid w:val="005E7D94"/>
    <w:rsid w:val="006961EB"/>
    <w:rsid w:val="00763EEA"/>
    <w:rsid w:val="007F4FB3"/>
    <w:rsid w:val="0080256F"/>
    <w:rsid w:val="00853B33"/>
    <w:rsid w:val="008570FE"/>
    <w:rsid w:val="008750C6"/>
    <w:rsid w:val="00924DAF"/>
    <w:rsid w:val="00AC5D5E"/>
    <w:rsid w:val="00AC686A"/>
    <w:rsid w:val="00AE49ED"/>
    <w:rsid w:val="00B22302"/>
    <w:rsid w:val="00B32DE4"/>
    <w:rsid w:val="00B4137D"/>
    <w:rsid w:val="00B437C7"/>
    <w:rsid w:val="00B65DEA"/>
    <w:rsid w:val="00C47E05"/>
    <w:rsid w:val="00D05E88"/>
    <w:rsid w:val="00D3597F"/>
    <w:rsid w:val="00D86873"/>
    <w:rsid w:val="00DA3F7D"/>
    <w:rsid w:val="00E20718"/>
    <w:rsid w:val="00E56EF1"/>
    <w:rsid w:val="00E941B4"/>
    <w:rsid w:val="00F969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7795F"/>
  <w15:docId w15:val="{986627D9-0AB1-44AA-91C9-F81AB22A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2DE4"/>
    <w:pPr>
      <w:bidi/>
    </w:pPr>
    <w:rPr>
      <w:rFonts w:ascii="Times New Roman" w:eastAsia="Times New Roman" w:hAnsi="Times New Roman" w:cs="David"/>
      <w:noProof/>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2DE4"/>
    <w:pPr>
      <w:tabs>
        <w:tab w:val="center" w:pos="4153"/>
        <w:tab w:val="right" w:pos="8306"/>
      </w:tabs>
    </w:pPr>
  </w:style>
  <w:style w:type="character" w:customStyle="1" w:styleId="a4">
    <w:name w:val="כותרת עליונה תו"/>
    <w:link w:val="a3"/>
    <w:rsid w:val="00B32DE4"/>
    <w:rPr>
      <w:rFonts w:ascii="Times New Roman" w:eastAsia="Times New Roman" w:hAnsi="Times New Roman" w:cs="David"/>
      <w:noProof/>
      <w:sz w:val="24"/>
      <w:szCs w:val="24"/>
    </w:rPr>
  </w:style>
  <w:style w:type="paragraph" w:styleId="a5">
    <w:name w:val="footer"/>
    <w:basedOn w:val="a"/>
    <w:link w:val="a6"/>
    <w:rsid w:val="00B32DE4"/>
    <w:pPr>
      <w:tabs>
        <w:tab w:val="center" w:pos="4153"/>
        <w:tab w:val="right" w:pos="8306"/>
      </w:tabs>
    </w:pPr>
  </w:style>
  <w:style w:type="character" w:customStyle="1" w:styleId="a6">
    <w:name w:val="כותרת תחתונה תו"/>
    <w:link w:val="a5"/>
    <w:rsid w:val="00B32DE4"/>
    <w:rPr>
      <w:rFonts w:ascii="Times New Roman" w:eastAsia="Times New Roman" w:hAnsi="Times New Roman" w:cs="David"/>
      <w:noProof/>
      <w:sz w:val="24"/>
      <w:szCs w:val="24"/>
    </w:rPr>
  </w:style>
  <w:style w:type="table" w:styleId="a7">
    <w:name w:val="Table Grid"/>
    <w:basedOn w:val="a1"/>
    <w:rsid w:val="00B32DE4"/>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rsid w:val="00B32DE4"/>
  </w:style>
  <w:style w:type="paragraph" w:customStyle="1" w:styleId="1">
    <w:name w:val="פיסקת רשימה1"/>
    <w:basedOn w:val="a"/>
    <w:qFormat/>
    <w:rsid w:val="00B32DE4"/>
    <w:pPr>
      <w:spacing w:after="160" w:line="259" w:lineRule="auto"/>
      <w:ind w:left="720"/>
      <w:contextualSpacing/>
    </w:pPr>
    <w:rPr>
      <w:rFonts w:ascii="Calibri" w:eastAsia="Calibri" w:hAnsi="Calibri" w:cs="Arial"/>
      <w:noProof w:val="0"/>
      <w:kern w:val="2"/>
      <w:sz w:val="22"/>
      <w:szCs w:val="22"/>
    </w:rPr>
  </w:style>
  <w:style w:type="paragraph" w:customStyle="1" w:styleId="p00">
    <w:name w:val="p00"/>
    <w:basedOn w:val="a"/>
    <w:rsid w:val="00B32DE4"/>
    <w:pPr>
      <w:bidi w:val="0"/>
      <w:spacing w:before="100" w:beforeAutospacing="1" w:after="100" w:afterAutospacing="1"/>
    </w:pPr>
    <w:rPr>
      <w:rFonts w:cs="Times New Roman"/>
      <w:noProof w:val="0"/>
    </w:rPr>
  </w:style>
  <w:style w:type="character" w:customStyle="1" w:styleId="default">
    <w:name w:val="default"/>
    <w:rsid w:val="00B32DE4"/>
  </w:style>
  <w:style w:type="character" w:styleId="Hyperlink">
    <w:name w:val="Hyperlink"/>
    <w:rsid w:val="00B32DE4"/>
    <w:rPr>
      <w:color w:val="0000FF"/>
      <w:u w:val="single"/>
    </w:rPr>
  </w:style>
  <w:style w:type="paragraph" w:customStyle="1" w:styleId="ruller4">
    <w:name w:val="ruller4"/>
    <w:basedOn w:val="a"/>
    <w:rsid w:val="00B32DE4"/>
    <w:pPr>
      <w:bidi w:val="0"/>
      <w:spacing w:before="100" w:beforeAutospacing="1" w:after="100" w:afterAutospacing="1"/>
    </w:pPr>
    <w:rPr>
      <w:rFonts w:cs="Times New Roman"/>
      <w:noProof w:val="0"/>
    </w:rPr>
  </w:style>
  <w:style w:type="character" w:styleId="a9">
    <w:name w:val="line number"/>
    <w:rsid w:val="00B32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2284</Words>
  <Characters>11424</Characters>
  <Application>Microsoft Office Word</Application>
  <DocSecurity>0</DocSecurity>
  <Lines>95</Lines>
  <Paragraphs>27</Paragraphs>
  <ScaleCrop>false</ScaleCrop>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2025-10-23T07:47:00Z</dcterms:created>
  <dcterms:modified xsi:type="dcterms:W3CDTF">2025-10-23T07:47:00Z</dcterms:modified>
</cp:coreProperties>
</file>