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8307"/>
      </w:tblGrid>
      <w:tr w:rsidR="00750D41" w14:paraId="5BC9EF7C" w14:textId="77777777" w:rsidTr="00616AE2">
        <w:trPr>
          <w:trHeight w:hRule="exact" w:val="624"/>
          <w:jc w:val="center"/>
        </w:trPr>
        <w:tc>
          <w:tcPr>
            <w:tcW w:w="8307" w:type="dxa"/>
          </w:tcPr>
          <w:p w14:paraId="7309D8AA" w14:textId="77777777" w:rsidR="00270C62" w:rsidRPr="00BD1C73" w:rsidRDefault="00000000" w:rsidP="00D10EBD">
            <w:pPr>
              <w:pStyle w:val="a5"/>
              <w:jc w:val="center"/>
              <w:rPr>
                <w:rFonts w:ascii="Tahoma" w:hAnsi="Tahoma"/>
                <w:b/>
                <w:bCs/>
                <w:sz w:val="28"/>
                <w:szCs w:val="28"/>
                <w:rtl/>
              </w:rPr>
            </w:pPr>
            <w:bookmarkStart w:id="0" w:name="LastJudge"/>
            <w:r w:rsidRPr="00BD1C73">
              <w:rPr>
                <w:rFonts w:ascii="Tahoma" w:hAnsi="Tahoma" w:hint="cs"/>
                <w:b/>
                <w:bCs/>
                <w:sz w:val="28"/>
                <w:szCs w:val="28"/>
                <w:rtl/>
              </w:rPr>
              <w:t>בבית המשפט העליון בשבתו כבית משפט לערעורים אזרחיים</w:t>
            </w:r>
          </w:p>
        </w:tc>
      </w:tr>
    </w:tbl>
    <w:p w14:paraId="6CF56074" w14:textId="77777777" w:rsidR="00C9217F" w:rsidRPr="00BD1C73" w:rsidRDefault="00270C62" w:rsidP="00270C62">
      <w:pPr>
        <w:pStyle w:val="a5"/>
        <w:jc w:val="right"/>
        <w:rPr>
          <w:rFonts w:ascii="David" w:hAnsi="David"/>
          <w:b/>
          <w:bCs/>
          <w:sz w:val="28"/>
          <w:szCs w:val="28"/>
          <w:rtl/>
        </w:rPr>
      </w:pPr>
      <w:r w:rsidRPr="00BD1C73">
        <w:rPr>
          <w:b/>
          <w:bCs/>
          <w:rtl/>
        </w:rPr>
        <w:t xml:space="preserve"> </w:t>
      </w:r>
      <w:r w:rsidRPr="00BD1C73">
        <w:rPr>
          <w:rFonts w:ascii="David" w:hAnsi="David"/>
          <w:b/>
          <w:bCs/>
          <w:sz w:val="28"/>
          <w:szCs w:val="28"/>
          <w:rtl/>
        </w:rPr>
        <w:t>ע"א</w:t>
      </w:r>
      <w:r w:rsidR="00000000" w:rsidRPr="00BD1C73">
        <w:rPr>
          <w:rFonts w:ascii="David" w:hAnsi="David"/>
          <w:b/>
          <w:bCs/>
          <w:sz w:val="28"/>
          <w:szCs w:val="28"/>
          <w:rtl/>
        </w:rPr>
        <w:t xml:space="preserve"> </w:t>
      </w:r>
      <w:r w:rsidRPr="00BD1C73">
        <w:rPr>
          <w:rFonts w:ascii="David" w:hAnsi="David"/>
          <w:b/>
          <w:bCs/>
          <w:sz w:val="28"/>
          <w:szCs w:val="28"/>
        </w:rPr>
        <w:t>172/24</w:t>
      </w:r>
      <w:r w:rsidR="00A5389F" w:rsidRPr="00BD1C73">
        <w:rPr>
          <w:rFonts w:ascii="David" w:hAnsi="David"/>
          <w:b/>
          <w:bCs/>
          <w:sz w:val="28"/>
          <w:szCs w:val="28"/>
        </w:rPr>
        <w:br/>
      </w:r>
      <w:r w:rsidR="00A5389F" w:rsidRPr="00BD1C73">
        <w:rPr>
          <w:rFonts w:ascii="David" w:hAnsi="David" w:hint="cs"/>
          <w:b/>
          <w:bCs/>
          <w:sz w:val="28"/>
          <w:szCs w:val="28"/>
          <w:rtl/>
        </w:rPr>
        <w:t>ערעור משיב לפני תקנה 137(ב)</w:t>
      </w:r>
      <w:r w:rsidR="00A5389F" w:rsidRPr="00BD1C73">
        <w:rPr>
          <w:rFonts w:ascii="David" w:hAnsi="David"/>
          <w:b/>
          <w:bCs/>
          <w:sz w:val="28"/>
          <w:szCs w:val="28"/>
          <w:rtl/>
        </w:rPr>
        <w:br/>
      </w:r>
      <w:r w:rsidR="00A5389F" w:rsidRPr="00BD1C73">
        <w:rPr>
          <w:rFonts w:ascii="David" w:hAnsi="David" w:hint="cs"/>
          <w:b/>
          <w:bCs/>
          <w:sz w:val="28"/>
          <w:szCs w:val="28"/>
          <w:rtl/>
        </w:rPr>
        <w:t>ע"א 296/24</w:t>
      </w:r>
    </w:p>
    <w:p w14:paraId="1C823E60" w14:textId="77777777" w:rsidR="00C9217F" w:rsidRPr="00BD1C73" w:rsidRDefault="00C9217F" w:rsidP="00C9217F">
      <w:pPr>
        <w:suppressLineNumbers/>
        <w:jc w:val="right"/>
        <w:rPr>
          <w:rtl/>
        </w:rPr>
      </w:pPr>
    </w:p>
    <w:p w14:paraId="4B9FA2A5" w14:textId="77777777" w:rsidR="0094424E" w:rsidRPr="00BD1C73" w:rsidRDefault="0094424E" w:rsidP="00D44968">
      <w:pPr>
        <w:suppressLineNumbers/>
        <w:rPr>
          <w:rtl/>
        </w:rPr>
      </w:pPr>
    </w:p>
    <w:tbl>
      <w:tblPr>
        <w:bidiVisual/>
        <w:tblW w:w="8348" w:type="dxa"/>
        <w:jc w:val="center"/>
        <w:tblLook w:val="01E0" w:firstRow="1" w:lastRow="1" w:firstColumn="1" w:lastColumn="1" w:noHBand="0" w:noVBand="0"/>
      </w:tblPr>
      <w:tblGrid>
        <w:gridCol w:w="3096"/>
        <w:gridCol w:w="5252"/>
      </w:tblGrid>
      <w:tr w:rsidR="00750D41" w14:paraId="24D5805B" w14:textId="77777777" w:rsidTr="00BD1C73">
        <w:trPr>
          <w:trHeight w:val="295"/>
          <w:jc w:val="center"/>
        </w:trPr>
        <w:tc>
          <w:tcPr>
            <w:tcW w:w="8348" w:type="dxa"/>
            <w:gridSpan w:val="2"/>
            <w:shd w:val="clear" w:color="auto" w:fill="auto"/>
          </w:tcPr>
          <w:p w14:paraId="462F6F81" w14:textId="77777777" w:rsidR="00105E0F" w:rsidRPr="00BD1C73" w:rsidRDefault="00105E0F" w:rsidP="00BD1C73">
            <w:pPr>
              <w:suppressLineNumbers/>
              <w:rPr>
                <w:rFonts w:ascii="Arial" w:hAnsi="Arial"/>
                <w:rtl/>
              </w:rPr>
            </w:pPr>
          </w:p>
        </w:tc>
      </w:tr>
      <w:tr w:rsidR="00750D41" w14:paraId="69204FE9" w14:textId="77777777" w:rsidTr="00BD1C73">
        <w:trPr>
          <w:jc w:val="center"/>
        </w:trPr>
        <w:tc>
          <w:tcPr>
            <w:tcW w:w="3096" w:type="dxa"/>
            <w:shd w:val="clear" w:color="auto" w:fill="auto"/>
          </w:tcPr>
          <w:p w14:paraId="2DA9EA64" w14:textId="77777777" w:rsidR="0094424E" w:rsidRPr="00BD1C73" w:rsidRDefault="00105E0F" w:rsidP="00BD1C73">
            <w:pPr>
              <w:suppressLineNumbers/>
              <w:ind w:right="-295"/>
              <w:jc w:val="both"/>
              <w:rPr>
                <w:rFonts w:ascii="David" w:hAnsi="David"/>
                <w:sz w:val="28"/>
                <w:szCs w:val="28"/>
                <w:rtl/>
              </w:rPr>
            </w:pPr>
            <w:r w:rsidRPr="00BD1C73">
              <w:rPr>
                <w:rFonts w:ascii="David" w:hAnsi="David"/>
                <w:sz w:val="28"/>
                <w:szCs w:val="28"/>
                <w:rtl/>
              </w:rPr>
              <w:t>ל</w:t>
            </w:r>
            <w:r w:rsidR="00000000" w:rsidRPr="00BD1C73">
              <w:rPr>
                <w:rFonts w:ascii="David" w:hAnsi="David"/>
                <w:sz w:val="28"/>
                <w:szCs w:val="28"/>
                <w:rtl/>
              </w:rPr>
              <w:t>פני</w:t>
            </w:r>
            <w:r w:rsidRPr="00BD1C73">
              <w:rPr>
                <w:rFonts w:ascii="David" w:hAnsi="David"/>
                <w:sz w:val="28"/>
                <w:szCs w:val="28"/>
                <w:rtl/>
              </w:rPr>
              <w:t>:</w:t>
            </w:r>
          </w:p>
        </w:tc>
        <w:tc>
          <w:tcPr>
            <w:tcW w:w="5252" w:type="dxa"/>
            <w:shd w:val="clear" w:color="auto" w:fill="auto"/>
          </w:tcPr>
          <w:p w14:paraId="6A91D52B" w14:textId="77777777" w:rsidR="00A5389F" w:rsidRPr="00BD1C73" w:rsidRDefault="000529D2" w:rsidP="00BD1C73">
            <w:pPr>
              <w:suppressLineNumbers/>
              <w:rPr>
                <w:rFonts w:ascii="David" w:hAnsi="David"/>
                <w:sz w:val="28"/>
                <w:szCs w:val="28"/>
                <w:rtl/>
              </w:rPr>
            </w:pPr>
            <w:bookmarkStart w:id="1" w:name="_Hlk178191361"/>
            <w:r w:rsidRPr="00BD1C73">
              <w:rPr>
                <w:rFonts w:ascii="David" w:hAnsi="David"/>
                <w:sz w:val="28"/>
                <w:szCs w:val="28"/>
                <w:rtl/>
              </w:rPr>
              <w:t>כבוד</w:t>
            </w:r>
            <w:r w:rsidR="0094424E" w:rsidRPr="00BD1C73">
              <w:rPr>
                <w:rFonts w:ascii="David" w:hAnsi="David"/>
                <w:sz w:val="28"/>
                <w:szCs w:val="28"/>
                <w:rtl/>
              </w:rPr>
              <w:t xml:space="preserve"> ה</w:t>
            </w:r>
            <w:r w:rsidRPr="00BD1C73">
              <w:rPr>
                <w:rFonts w:ascii="David" w:hAnsi="David"/>
                <w:sz w:val="28"/>
                <w:szCs w:val="28"/>
                <w:rtl/>
              </w:rPr>
              <w:t>שופט</w:t>
            </w:r>
            <w:r w:rsidR="0094424E" w:rsidRPr="00BD1C73">
              <w:rPr>
                <w:rFonts w:ascii="David" w:hAnsi="David"/>
                <w:sz w:val="28"/>
                <w:szCs w:val="28"/>
                <w:rtl/>
              </w:rPr>
              <w:t xml:space="preserve"> </w:t>
            </w:r>
            <w:r w:rsidR="00000000" w:rsidRPr="00BD1C73">
              <w:rPr>
                <w:rFonts w:ascii="David" w:hAnsi="David" w:hint="cs"/>
                <w:sz w:val="28"/>
                <w:szCs w:val="28"/>
                <w:rtl/>
              </w:rPr>
              <w:t>יצחק עמית</w:t>
            </w:r>
          </w:p>
          <w:p w14:paraId="77ABC077" w14:textId="77777777" w:rsidR="00A5389F" w:rsidRPr="00BD1C73" w:rsidRDefault="00000000" w:rsidP="00BD1C73">
            <w:pPr>
              <w:suppressLineNumbers/>
              <w:rPr>
                <w:rFonts w:ascii="David" w:hAnsi="David"/>
                <w:sz w:val="28"/>
                <w:szCs w:val="28"/>
                <w:rtl/>
              </w:rPr>
            </w:pPr>
            <w:r w:rsidRPr="00BD1C73">
              <w:rPr>
                <w:rFonts w:ascii="David" w:hAnsi="David"/>
                <w:sz w:val="28"/>
                <w:szCs w:val="28"/>
                <w:rtl/>
              </w:rPr>
              <w:t>כבוד השופט</w:t>
            </w:r>
            <w:r w:rsidRPr="00BD1C73">
              <w:rPr>
                <w:rFonts w:ascii="David" w:hAnsi="David" w:hint="cs"/>
                <w:sz w:val="28"/>
                <w:szCs w:val="28"/>
                <w:rtl/>
              </w:rPr>
              <w:t>ת דפנה ברק-ארז</w:t>
            </w:r>
          </w:p>
          <w:p w14:paraId="13037A03" w14:textId="77777777" w:rsidR="00007DE0" w:rsidRPr="00BD1C73" w:rsidRDefault="00A5389F" w:rsidP="00BD1C73">
            <w:pPr>
              <w:suppressLineNumbers/>
              <w:rPr>
                <w:rFonts w:ascii="David" w:hAnsi="David"/>
                <w:sz w:val="28"/>
                <w:szCs w:val="28"/>
                <w:rtl/>
              </w:rPr>
            </w:pPr>
            <w:r w:rsidRPr="00BD1C73">
              <w:rPr>
                <w:rFonts w:ascii="David" w:hAnsi="David"/>
                <w:sz w:val="28"/>
                <w:szCs w:val="28"/>
                <w:rtl/>
              </w:rPr>
              <w:t xml:space="preserve">כבוד השופט </w:t>
            </w:r>
            <w:r w:rsidR="000529D2" w:rsidRPr="00BD1C73">
              <w:rPr>
                <w:rFonts w:ascii="David" w:hAnsi="David"/>
                <w:sz w:val="28"/>
                <w:szCs w:val="28"/>
                <w:rtl/>
              </w:rPr>
              <w:t>דוד מינץ</w:t>
            </w:r>
          </w:p>
          <w:bookmarkEnd w:id="1"/>
          <w:p w14:paraId="076C8468" w14:textId="77777777" w:rsidR="00CA4C49" w:rsidRPr="00BD1C73" w:rsidRDefault="00CA4C49" w:rsidP="00BD1C73">
            <w:pPr>
              <w:suppressLineNumbers/>
              <w:rPr>
                <w:rFonts w:ascii="David" w:hAnsi="David"/>
                <w:sz w:val="28"/>
                <w:szCs w:val="28"/>
              </w:rPr>
            </w:pPr>
          </w:p>
        </w:tc>
      </w:tr>
      <w:tr w:rsidR="00750D41" w14:paraId="5E4A0060" w14:textId="77777777" w:rsidTr="00BD1C73">
        <w:trPr>
          <w:jc w:val="center"/>
        </w:trPr>
        <w:tc>
          <w:tcPr>
            <w:tcW w:w="3096" w:type="dxa"/>
            <w:shd w:val="clear" w:color="auto" w:fill="auto"/>
          </w:tcPr>
          <w:p w14:paraId="17A69E73" w14:textId="77777777" w:rsidR="00E23C2C" w:rsidRPr="00BD1C73" w:rsidRDefault="00000000" w:rsidP="00BD1C73">
            <w:pPr>
              <w:suppressLineNumbers/>
              <w:ind w:right="-295"/>
              <w:jc w:val="both"/>
              <w:rPr>
                <w:rFonts w:ascii="David" w:hAnsi="David"/>
                <w:sz w:val="28"/>
                <w:szCs w:val="28"/>
                <w:rtl/>
              </w:rPr>
            </w:pPr>
            <w:bookmarkStart w:id="2" w:name="FirstAppellant"/>
            <w:r w:rsidRPr="00BD1C73">
              <w:rPr>
                <w:rFonts w:ascii="David" w:hAnsi="David" w:hint="cs"/>
                <w:sz w:val="28"/>
                <w:szCs w:val="28"/>
                <w:rtl/>
              </w:rPr>
              <w:t>המערע</w:t>
            </w:r>
            <w:r w:rsidR="009A2E21" w:rsidRPr="00BD1C73">
              <w:rPr>
                <w:rFonts w:ascii="David" w:hAnsi="David" w:hint="cs"/>
                <w:sz w:val="28"/>
                <w:szCs w:val="28"/>
                <w:rtl/>
              </w:rPr>
              <w:t>ר</w:t>
            </w:r>
            <w:r w:rsidRPr="00BD1C73">
              <w:rPr>
                <w:rFonts w:ascii="David" w:hAnsi="David" w:hint="cs"/>
                <w:sz w:val="28"/>
                <w:szCs w:val="28"/>
                <w:rtl/>
              </w:rPr>
              <w:t xml:space="preserve"> ב</w:t>
            </w:r>
            <w:r w:rsidR="00BD1C73" w:rsidRPr="009659A5">
              <w:rPr>
                <w:rFonts w:ascii="David" w:hAnsi="David"/>
                <w:sz w:val="28"/>
                <w:szCs w:val="28"/>
                <w:rtl/>
              </w:rPr>
              <w:t>ע"א 172/24</w:t>
            </w:r>
            <w:r w:rsidRPr="00BD1C73">
              <w:rPr>
                <w:rFonts w:ascii="David" w:hAnsi="David" w:hint="cs"/>
                <w:sz w:val="28"/>
                <w:szCs w:val="28"/>
                <w:rtl/>
              </w:rPr>
              <w:t>:</w:t>
            </w:r>
          </w:p>
        </w:tc>
        <w:tc>
          <w:tcPr>
            <w:tcW w:w="5252" w:type="dxa"/>
            <w:shd w:val="clear" w:color="auto" w:fill="auto"/>
          </w:tcPr>
          <w:p w14:paraId="6E195E77" w14:textId="77777777" w:rsidR="00E23C2C" w:rsidRPr="00BD1C73" w:rsidRDefault="00000000" w:rsidP="00BD1C73">
            <w:pPr>
              <w:suppressLineNumbers/>
              <w:rPr>
                <w:rFonts w:ascii="David" w:hAnsi="David"/>
                <w:sz w:val="28"/>
                <w:szCs w:val="28"/>
                <w:rtl/>
              </w:rPr>
            </w:pPr>
            <w:r w:rsidRPr="00BD1C73">
              <w:rPr>
                <w:rFonts w:ascii="David" w:hAnsi="David"/>
                <w:sz w:val="28"/>
                <w:szCs w:val="28"/>
                <w:rtl/>
              </w:rPr>
              <w:t>עו"ד ליאור מזור</w:t>
            </w:r>
            <w:r w:rsidRPr="00BD1C73">
              <w:rPr>
                <w:rFonts w:ascii="David" w:hAnsi="David" w:hint="cs"/>
                <w:sz w:val="28"/>
                <w:szCs w:val="28"/>
                <w:rtl/>
              </w:rPr>
              <w:t xml:space="preserve"> בתפקידו כנאמן לנכסי החייב</w:t>
            </w:r>
          </w:p>
        </w:tc>
      </w:tr>
      <w:bookmarkEnd w:id="2"/>
      <w:tr w:rsidR="00750D41" w14:paraId="327DF40B" w14:textId="77777777" w:rsidTr="00BD1C73">
        <w:trPr>
          <w:jc w:val="center"/>
        </w:trPr>
        <w:tc>
          <w:tcPr>
            <w:tcW w:w="3096" w:type="dxa"/>
            <w:shd w:val="clear" w:color="auto" w:fill="auto"/>
          </w:tcPr>
          <w:p w14:paraId="57FD5A89" w14:textId="77777777" w:rsidR="00E23C2C" w:rsidRPr="00BD1C73" w:rsidRDefault="00E23C2C" w:rsidP="00BD1C73">
            <w:pPr>
              <w:suppressLineNumbers/>
              <w:ind w:right="-295"/>
              <w:jc w:val="both"/>
              <w:rPr>
                <w:rFonts w:ascii="David" w:hAnsi="David"/>
                <w:sz w:val="28"/>
                <w:szCs w:val="28"/>
                <w:rtl/>
              </w:rPr>
            </w:pPr>
          </w:p>
        </w:tc>
        <w:tc>
          <w:tcPr>
            <w:tcW w:w="5252" w:type="dxa"/>
            <w:shd w:val="clear" w:color="auto" w:fill="auto"/>
          </w:tcPr>
          <w:p w14:paraId="2D8716AF" w14:textId="77777777" w:rsidR="00E23C2C" w:rsidRPr="00BD1C73" w:rsidRDefault="00E23C2C" w:rsidP="00BD1C73">
            <w:pPr>
              <w:suppressLineNumbers/>
              <w:rPr>
                <w:rFonts w:ascii="David" w:hAnsi="David"/>
                <w:sz w:val="28"/>
                <w:szCs w:val="28"/>
                <w:rtl/>
              </w:rPr>
            </w:pPr>
          </w:p>
        </w:tc>
      </w:tr>
      <w:tr w:rsidR="00750D41" w14:paraId="15C19330" w14:textId="77777777" w:rsidTr="00BD1C73">
        <w:trPr>
          <w:jc w:val="center"/>
        </w:trPr>
        <w:tc>
          <w:tcPr>
            <w:tcW w:w="3096" w:type="dxa"/>
            <w:shd w:val="clear" w:color="auto" w:fill="auto"/>
            <w:vAlign w:val="center"/>
          </w:tcPr>
          <w:p w14:paraId="250813E1" w14:textId="77777777" w:rsidR="00E23C2C" w:rsidRPr="00BD1C73" w:rsidRDefault="00000000" w:rsidP="00BD1C73">
            <w:pPr>
              <w:suppressLineNumbers/>
              <w:ind w:right="-295"/>
              <w:rPr>
                <w:rFonts w:ascii="David" w:hAnsi="David"/>
                <w:sz w:val="28"/>
                <w:szCs w:val="28"/>
                <w:rtl/>
              </w:rPr>
            </w:pPr>
            <w:r w:rsidRPr="00BD1C73">
              <w:rPr>
                <w:rFonts w:ascii="David" w:hAnsi="David" w:hint="cs"/>
                <w:sz w:val="28"/>
                <w:szCs w:val="28"/>
                <w:rtl/>
              </w:rPr>
              <w:t>המערערת בערעור משיב לפי תקנה 137(ב):</w:t>
            </w:r>
          </w:p>
        </w:tc>
        <w:tc>
          <w:tcPr>
            <w:tcW w:w="5252" w:type="dxa"/>
            <w:shd w:val="clear" w:color="auto" w:fill="auto"/>
          </w:tcPr>
          <w:p w14:paraId="41EF55F6" w14:textId="77777777" w:rsidR="00E23C2C" w:rsidRPr="00BD1C73" w:rsidRDefault="00423D45" w:rsidP="00BD1C73">
            <w:pPr>
              <w:suppressLineNumbers/>
              <w:rPr>
                <w:rFonts w:ascii="David" w:hAnsi="David"/>
                <w:sz w:val="28"/>
                <w:szCs w:val="28"/>
                <w:rtl/>
              </w:rPr>
            </w:pPr>
            <w:r w:rsidRPr="00BD1C73">
              <w:rPr>
                <w:rFonts w:ascii="David" w:hAnsi="David"/>
                <w:sz w:val="28"/>
                <w:szCs w:val="28"/>
                <w:rtl/>
              </w:rPr>
              <w:br/>
            </w:r>
            <w:r w:rsidR="009A2E21" w:rsidRPr="00BD1C73">
              <w:rPr>
                <w:rFonts w:ascii="David" w:hAnsi="David"/>
                <w:sz w:val="28"/>
                <w:szCs w:val="28"/>
                <w:rtl/>
              </w:rPr>
              <w:t>מגדלי אדומים בע"מ</w:t>
            </w:r>
          </w:p>
        </w:tc>
      </w:tr>
      <w:tr w:rsidR="00750D41" w14:paraId="14949F0E" w14:textId="77777777" w:rsidTr="00BD1C73">
        <w:trPr>
          <w:jc w:val="center"/>
        </w:trPr>
        <w:tc>
          <w:tcPr>
            <w:tcW w:w="3096" w:type="dxa"/>
            <w:shd w:val="clear" w:color="auto" w:fill="auto"/>
          </w:tcPr>
          <w:p w14:paraId="3E386397" w14:textId="77777777" w:rsidR="00E23C2C" w:rsidRPr="00BD1C73" w:rsidRDefault="00E23C2C" w:rsidP="00BD1C73">
            <w:pPr>
              <w:suppressLineNumbers/>
              <w:ind w:right="-295"/>
              <w:jc w:val="both"/>
              <w:rPr>
                <w:rFonts w:ascii="David" w:hAnsi="David"/>
                <w:sz w:val="28"/>
                <w:szCs w:val="28"/>
                <w:rtl/>
              </w:rPr>
            </w:pPr>
          </w:p>
        </w:tc>
        <w:tc>
          <w:tcPr>
            <w:tcW w:w="5252" w:type="dxa"/>
            <w:shd w:val="clear" w:color="auto" w:fill="auto"/>
          </w:tcPr>
          <w:p w14:paraId="145178D1" w14:textId="77777777" w:rsidR="00E23C2C" w:rsidRPr="00BD1C73" w:rsidRDefault="00E23C2C" w:rsidP="00BD1C73">
            <w:pPr>
              <w:suppressLineNumbers/>
              <w:rPr>
                <w:rFonts w:ascii="David" w:hAnsi="David"/>
                <w:sz w:val="28"/>
                <w:szCs w:val="28"/>
                <w:rtl/>
              </w:rPr>
            </w:pPr>
          </w:p>
        </w:tc>
      </w:tr>
      <w:tr w:rsidR="00750D41" w14:paraId="3080AB13" w14:textId="77777777" w:rsidTr="00BD1C73">
        <w:trPr>
          <w:jc w:val="center"/>
        </w:trPr>
        <w:tc>
          <w:tcPr>
            <w:tcW w:w="3096" w:type="dxa"/>
            <w:shd w:val="clear" w:color="auto" w:fill="auto"/>
          </w:tcPr>
          <w:p w14:paraId="24A6873F" w14:textId="77777777" w:rsidR="0094424E" w:rsidRPr="00BD1C73" w:rsidRDefault="00C9217F" w:rsidP="00BD1C73">
            <w:pPr>
              <w:suppressLineNumbers/>
              <w:rPr>
                <w:rFonts w:ascii="David" w:hAnsi="David"/>
                <w:sz w:val="28"/>
                <w:szCs w:val="28"/>
                <w:rtl/>
              </w:rPr>
            </w:pPr>
            <w:r w:rsidRPr="00BD1C73">
              <w:rPr>
                <w:rFonts w:ascii="David" w:hAnsi="David" w:hint="cs"/>
                <w:sz w:val="28"/>
                <w:szCs w:val="28"/>
                <w:rtl/>
              </w:rPr>
              <w:t>ה</w:t>
            </w:r>
            <w:r w:rsidR="00A5389F" w:rsidRPr="00BD1C73">
              <w:rPr>
                <w:rFonts w:ascii="David" w:hAnsi="David" w:hint="cs"/>
                <w:sz w:val="28"/>
                <w:szCs w:val="28"/>
                <w:rtl/>
              </w:rPr>
              <w:t>מערער בע"א 296/24</w:t>
            </w:r>
            <w:r w:rsidRPr="00BD1C73">
              <w:rPr>
                <w:rFonts w:ascii="David" w:hAnsi="David" w:hint="cs"/>
                <w:sz w:val="28"/>
                <w:szCs w:val="28"/>
                <w:rtl/>
              </w:rPr>
              <w:t>:</w:t>
            </w:r>
          </w:p>
        </w:tc>
        <w:tc>
          <w:tcPr>
            <w:tcW w:w="5252" w:type="dxa"/>
            <w:shd w:val="clear" w:color="auto" w:fill="auto"/>
          </w:tcPr>
          <w:p w14:paraId="239F4757" w14:textId="77777777" w:rsidR="0094424E" w:rsidRPr="00BD1C73" w:rsidRDefault="00A5389F" w:rsidP="00BD1C73">
            <w:pPr>
              <w:suppressLineNumbers/>
              <w:rPr>
                <w:rFonts w:ascii="David" w:hAnsi="David"/>
                <w:sz w:val="28"/>
                <w:szCs w:val="28"/>
              </w:rPr>
            </w:pPr>
            <w:r w:rsidRPr="00BD1C73">
              <w:rPr>
                <w:rFonts w:ascii="David" w:hAnsi="David" w:hint="cs"/>
                <w:sz w:val="28"/>
                <w:szCs w:val="28"/>
                <w:rtl/>
              </w:rPr>
              <w:t>עזרא דואק</w:t>
            </w:r>
          </w:p>
        </w:tc>
      </w:tr>
      <w:tr w:rsidR="00750D41" w14:paraId="0C8CBC2B" w14:textId="77777777" w:rsidTr="00BD1C73">
        <w:trPr>
          <w:jc w:val="center"/>
        </w:trPr>
        <w:tc>
          <w:tcPr>
            <w:tcW w:w="8348" w:type="dxa"/>
            <w:gridSpan w:val="2"/>
            <w:shd w:val="clear" w:color="auto" w:fill="auto"/>
          </w:tcPr>
          <w:p w14:paraId="532FC2E8" w14:textId="77777777" w:rsidR="0094424E" w:rsidRPr="00BD1C73" w:rsidRDefault="0094424E" w:rsidP="00BD1C73">
            <w:pPr>
              <w:suppressLineNumbers/>
              <w:rPr>
                <w:rFonts w:ascii="David" w:hAnsi="David"/>
                <w:sz w:val="28"/>
                <w:szCs w:val="28"/>
                <w:rtl/>
              </w:rPr>
            </w:pPr>
          </w:p>
          <w:p w14:paraId="6A55114D" w14:textId="77777777" w:rsidR="0094424E" w:rsidRPr="00BD1C73" w:rsidRDefault="00616AE2" w:rsidP="00BD1C73">
            <w:pPr>
              <w:suppressLineNumbers/>
              <w:ind w:left="2880"/>
              <w:rPr>
                <w:rFonts w:ascii="David" w:hAnsi="David"/>
                <w:spacing w:val="40"/>
                <w:sz w:val="28"/>
                <w:szCs w:val="28"/>
                <w:rtl/>
              </w:rPr>
            </w:pPr>
            <w:r w:rsidRPr="00BD1C73">
              <w:rPr>
                <w:rFonts w:ascii="David" w:hAnsi="David" w:hint="cs"/>
                <w:spacing w:val="40"/>
                <w:sz w:val="28"/>
                <w:szCs w:val="28"/>
                <w:rtl/>
              </w:rPr>
              <w:t xml:space="preserve">  </w:t>
            </w:r>
            <w:r w:rsidR="00000000" w:rsidRPr="00BD1C73">
              <w:rPr>
                <w:rFonts w:ascii="David" w:hAnsi="David"/>
                <w:spacing w:val="40"/>
                <w:sz w:val="28"/>
                <w:szCs w:val="28"/>
                <w:rtl/>
              </w:rPr>
              <w:t>נגד</w:t>
            </w:r>
          </w:p>
          <w:p w14:paraId="5C859AB3" w14:textId="77777777" w:rsidR="0094424E" w:rsidRPr="00BD1C73" w:rsidRDefault="0094424E" w:rsidP="00BD1C73">
            <w:pPr>
              <w:suppressLineNumbers/>
              <w:rPr>
                <w:rFonts w:ascii="David" w:hAnsi="David"/>
                <w:sz w:val="28"/>
                <w:szCs w:val="28"/>
              </w:rPr>
            </w:pPr>
          </w:p>
        </w:tc>
      </w:tr>
      <w:tr w:rsidR="00750D41" w14:paraId="2D4A40F3" w14:textId="77777777" w:rsidTr="00BD1C73">
        <w:trPr>
          <w:jc w:val="center"/>
        </w:trPr>
        <w:tc>
          <w:tcPr>
            <w:tcW w:w="3096" w:type="dxa"/>
            <w:shd w:val="clear" w:color="auto" w:fill="auto"/>
          </w:tcPr>
          <w:p w14:paraId="0E1B69C2" w14:textId="77777777" w:rsidR="00C318A2" w:rsidRPr="00BD1C73" w:rsidRDefault="00000000" w:rsidP="00BD1C73">
            <w:pPr>
              <w:suppressLineNumbers/>
              <w:ind w:right="-295"/>
              <w:jc w:val="both"/>
              <w:rPr>
                <w:rFonts w:ascii="David" w:hAnsi="David"/>
                <w:sz w:val="28"/>
                <w:szCs w:val="28"/>
                <w:rtl/>
              </w:rPr>
            </w:pPr>
            <w:r w:rsidRPr="00BD1C73">
              <w:rPr>
                <w:rFonts w:ascii="David" w:hAnsi="David" w:hint="cs"/>
                <w:sz w:val="28"/>
                <w:szCs w:val="28"/>
                <w:rtl/>
              </w:rPr>
              <w:t>המשיבים בע"א 172/24:</w:t>
            </w:r>
          </w:p>
        </w:tc>
        <w:tc>
          <w:tcPr>
            <w:tcW w:w="5252" w:type="dxa"/>
            <w:shd w:val="clear" w:color="auto" w:fill="auto"/>
          </w:tcPr>
          <w:p w14:paraId="4CB4EA6D" w14:textId="77777777" w:rsidR="00C318A2" w:rsidRPr="00BD1C73" w:rsidRDefault="00000000" w:rsidP="00BD1C73">
            <w:pPr>
              <w:suppressLineNumbers/>
              <w:rPr>
                <w:rFonts w:ascii="David" w:hAnsi="David"/>
                <w:sz w:val="28"/>
                <w:szCs w:val="28"/>
                <w:rtl/>
              </w:rPr>
            </w:pPr>
            <w:r w:rsidRPr="00BD1C73">
              <w:rPr>
                <w:rFonts w:ascii="David" w:hAnsi="David" w:hint="cs"/>
                <w:sz w:val="28"/>
                <w:szCs w:val="28"/>
                <w:rtl/>
              </w:rPr>
              <w:t>1. עזרא דואק</w:t>
            </w:r>
          </w:p>
          <w:p w14:paraId="53924538" w14:textId="77777777" w:rsidR="00C318A2" w:rsidRPr="00BD1C73" w:rsidRDefault="00000000" w:rsidP="00BD1C73">
            <w:pPr>
              <w:suppressLineNumbers/>
              <w:rPr>
                <w:rFonts w:ascii="David" w:hAnsi="David"/>
                <w:sz w:val="28"/>
                <w:szCs w:val="28"/>
                <w:rtl/>
              </w:rPr>
            </w:pPr>
            <w:r w:rsidRPr="00BD1C73">
              <w:rPr>
                <w:rFonts w:ascii="David" w:hAnsi="David" w:hint="cs"/>
                <w:sz w:val="28"/>
                <w:szCs w:val="28"/>
                <w:rtl/>
              </w:rPr>
              <w:t>2. מגדלי אדומים בע"מ</w:t>
            </w:r>
          </w:p>
          <w:p w14:paraId="2D764538" w14:textId="77777777" w:rsidR="00C318A2" w:rsidRPr="00BD1C73" w:rsidRDefault="00000000" w:rsidP="00BD1C73">
            <w:pPr>
              <w:suppressLineNumbers/>
              <w:rPr>
                <w:rFonts w:ascii="David" w:hAnsi="David"/>
                <w:sz w:val="28"/>
                <w:szCs w:val="28"/>
                <w:rtl/>
              </w:rPr>
            </w:pPr>
            <w:r w:rsidRPr="00BD1C73">
              <w:rPr>
                <w:rFonts w:ascii="David" w:hAnsi="David" w:hint="cs"/>
                <w:sz w:val="28"/>
                <w:szCs w:val="28"/>
                <w:rtl/>
              </w:rPr>
              <w:t xml:space="preserve">3. </w:t>
            </w:r>
            <w:r w:rsidR="00D730B5" w:rsidRPr="00BD1C73">
              <w:rPr>
                <w:rFonts w:ascii="David" w:hAnsi="David" w:hint="cs"/>
                <w:sz w:val="28"/>
                <w:szCs w:val="28"/>
                <w:rtl/>
              </w:rPr>
              <w:t>כונס הנכסים הרשמי</w:t>
            </w:r>
          </w:p>
        </w:tc>
      </w:tr>
      <w:tr w:rsidR="00750D41" w14:paraId="4B96F8FE" w14:textId="77777777" w:rsidTr="00BD1C73">
        <w:trPr>
          <w:jc w:val="center"/>
        </w:trPr>
        <w:tc>
          <w:tcPr>
            <w:tcW w:w="3096" w:type="dxa"/>
            <w:shd w:val="clear" w:color="auto" w:fill="auto"/>
          </w:tcPr>
          <w:p w14:paraId="14AA6852" w14:textId="77777777" w:rsidR="00C318A2" w:rsidRPr="00BD1C73" w:rsidRDefault="00C318A2" w:rsidP="00BD1C73">
            <w:pPr>
              <w:suppressLineNumbers/>
              <w:rPr>
                <w:rFonts w:ascii="David" w:hAnsi="David"/>
                <w:sz w:val="28"/>
                <w:szCs w:val="28"/>
              </w:rPr>
            </w:pPr>
          </w:p>
        </w:tc>
        <w:tc>
          <w:tcPr>
            <w:tcW w:w="5252" w:type="dxa"/>
            <w:shd w:val="clear" w:color="auto" w:fill="auto"/>
          </w:tcPr>
          <w:p w14:paraId="6870D48C" w14:textId="77777777" w:rsidR="00C318A2" w:rsidRPr="00BD1C73" w:rsidRDefault="00C318A2" w:rsidP="00BD1C73">
            <w:pPr>
              <w:suppressLineNumbers/>
              <w:rPr>
                <w:rFonts w:ascii="David" w:hAnsi="David"/>
                <w:sz w:val="28"/>
                <w:szCs w:val="28"/>
                <w:rtl/>
              </w:rPr>
            </w:pPr>
          </w:p>
        </w:tc>
      </w:tr>
      <w:tr w:rsidR="00750D41" w14:paraId="0E8E244D" w14:textId="77777777" w:rsidTr="00BD1C73">
        <w:trPr>
          <w:jc w:val="center"/>
        </w:trPr>
        <w:tc>
          <w:tcPr>
            <w:tcW w:w="3096" w:type="dxa"/>
            <w:shd w:val="clear" w:color="auto" w:fill="auto"/>
          </w:tcPr>
          <w:p w14:paraId="79DB04F5" w14:textId="77777777" w:rsidR="00C318A2" w:rsidRPr="00BD1C73" w:rsidRDefault="00000000" w:rsidP="00BD1C73">
            <w:pPr>
              <w:suppressLineNumbers/>
              <w:rPr>
                <w:rFonts w:ascii="David" w:hAnsi="David"/>
                <w:sz w:val="28"/>
                <w:szCs w:val="28"/>
                <w:rtl/>
              </w:rPr>
            </w:pPr>
            <w:r w:rsidRPr="00BD1C73">
              <w:rPr>
                <w:rFonts w:ascii="David" w:hAnsi="David" w:hint="cs"/>
                <w:sz w:val="28"/>
                <w:szCs w:val="28"/>
                <w:rtl/>
              </w:rPr>
              <w:t>ה</w:t>
            </w:r>
            <w:r w:rsidRPr="00BD1C73">
              <w:rPr>
                <w:rFonts w:ascii="David" w:hAnsi="David"/>
                <w:sz w:val="28"/>
                <w:szCs w:val="28"/>
                <w:rtl/>
              </w:rPr>
              <w:t>משיבים</w:t>
            </w:r>
            <w:r w:rsidRPr="00BD1C73">
              <w:rPr>
                <w:rFonts w:ascii="David" w:hAnsi="David" w:hint="cs"/>
                <w:sz w:val="28"/>
                <w:szCs w:val="28"/>
                <w:rtl/>
              </w:rPr>
              <w:t xml:space="preserve"> בערעור משיב לפי תקנה 137(ב):</w:t>
            </w:r>
          </w:p>
        </w:tc>
        <w:tc>
          <w:tcPr>
            <w:tcW w:w="5252" w:type="dxa"/>
            <w:shd w:val="clear" w:color="auto" w:fill="auto"/>
          </w:tcPr>
          <w:p w14:paraId="625A1F4A" w14:textId="77777777" w:rsidR="00A43DB4" w:rsidRPr="00BD1C73" w:rsidRDefault="00A43DB4" w:rsidP="00BD1C73">
            <w:pPr>
              <w:suppressLineNumbers/>
              <w:rPr>
                <w:rFonts w:ascii="David" w:hAnsi="David"/>
                <w:sz w:val="28"/>
                <w:szCs w:val="28"/>
                <w:rtl/>
              </w:rPr>
            </w:pPr>
          </w:p>
          <w:p w14:paraId="366F567D" w14:textId="77777777" w:rsidR="00C318A2" w:rsidRPr="00BD1C73" w:rsidRDefault="00000000" w:rsidP="00BD1C73">
            <w:pPr>
              <w:suppressLineNumbers/>
              <w:rPr>
                <w:rFonts w:ascii="David" w:hAnsi="David"/>
                <w:sz w:val="28"/>
                <w:szCs w:val="28"/>
                <w:rtl/>
              </w:rPr>
            </w:pPr>
            <w:r w:rsidRPr="00BD1C73">
              <w:rPr>
                <w:rFonts w:ascii="David" w:hAnsi="David"/>
                <w:sz w:val="28"/>
                <w:szCs w:val="28"/>
                <w:rtl/>
              </w:rPr>
              <w:t>1. עו"ד ליאור מזור</w:t>
            </w:r>
            <w:r w:rsidRPr="00BD1C73">
              <w:rPr>
                <w:rFonts w:ascii="David" w:hAnsi="David" w:hint="cs"/>
                <w:sz w:val="28"/>
                <w:szCs w:val="28"/>
                <w:rtl/>
              </w:rPr>
              <w:t xml:space="preserve"> בתפקידו כנאמן לנכסי החייב </w:t>
            </w:r>
          </w:p>
          <w:p w14:paraId="6855D5DF" w14:textId="77777777" w:rsidR="00C318A2" w:rsidRPr="00BD1C73" w:rsidRDefault="00000000" w:rsidP="00BD1C73">
            <w:pPr>
              <w:suppressLineNumbers/>
              <w:rPr>
                <w:rFonts w:ascii="David" w:hAnsi="David"/>
                <w:sz w:val="28"/>
                <w:szCs w:val="28"/>
                <w:rtl/>
              </w:rPr>
            </w:pPr>
            <w:r w:rsidRPr="00BD1C73">
              <w:rPr>
                <w:rFonts w:ascii="David" w:hAnsi="David"/>
                <w:sz w:val="28"/>
                <w:szCs w:val="28"/>
                <w:rtl/>
              </w:rPr>
              <w:t xml:space="preserve">2. </w:t>
            </w:r>
            <w:r w:rsidRPr="00BD1C73">
              <w:rPr>
                <w:rFonts w:ascii="David" w:hAnsi="David" w:hint="cs"/>
                <w:sz w:val="28"/>
                <w:szCs w:val="28"/>
                <w:rtl/>
              </w:rPr>
              <w:t>עזרא דואק</w:t>
            </w:r>
          </w:p>
          <w:p w14:paraId="3FFAAB65" w14:textId="77777777" w:rsidR="00C318A2" w:rsidRPr="00BD1C73" w:rsidRDefault="00000000" w:rsidP="00BD1C73">
            <w:pPr>
              <w:suppressLineNumbers/>
              <w:rPr>
                <w:rFonts w:ascii="David" w:hAnsi="David"/>
                <w:sz w:val="28"/>
                <w:szCs w:val="28"/>
                <w:rtl/>
              </w:rPr>
            </w:pPr>
            <w:r w:rsidRPr="00BD1C73">
              <w:rPr>
                <w:rFonts w:ascii="David" w:hAnsi="David"/>
                <w:sz w:val="28"/>
                <w:szCs w:val="28"/>
                <w:rtl/>
              </w:rPr>
              <w:t xml:space="preserve">3. </w:t>
            </w:r>
            <w:r w:rsidR="00D730B5" w:rsidRPr="00BD1C73">
              <w:rPr>
                <w:rFonts w:ascii="David" w:hAnsi="David"/>
                <w:sz w:val="28"/>
                <w:szCs w:val="28"/>
                <w:rtl/>
              </w:rPr>
              <w:t>כונס הנכסים הרשמי</w:t>
            </w:r>
          </w:p>
        </w:tc>
      </w:tr>
      <w:tr w:rsidR="00750D41" w14:paraId="376EAD21" w14:textId="77777777" w:rsidTr="00BD1C73">
        <w:trPr>
          <w:jc w:val="center"/>
        </w:trPr>
        <w:tc>
          <w:tcPr>
            <w:tcW w:w="3096" w:type="dxa"/>
            <w:shd w:val="clear" w:color="auto" w:fill="auto"/>
          </w:tcPr>
          <w:p w14:paraId="7E1352F2" w14:textId="77777777" w:rsidR="00C318A2" w:rsidRPr="00BD1C73" w:rsidRDefault="00C318A2" w:rsidP="00BD1C73">
            <w:pPr>
              <w:suppressLineNumbers/>
              <w:rPr>
                <w:rFonts w:ascii="David" w:hAnsi="David"/>
                <w:sz w:val="28"/>
                <w:szCs w:val="28"/>
                <w:rtl/>
              </w:rPr>
            </w:pPr>
          </w:p>
        </w:tc>
        <w:tc>
          <w:tcPr>
            <w:tcW w:w="5252" w:type="dxa"/>
            <w:shd w:val="clear" w:color="auto" w:fill="auto"/>
          </w:tcPr>
          <w:p w14:paraId="4661F7DD" w14:textId="77777777" w:rsidR="00C318A2" w:rsidRPr="00BD1C73" w:rsidRDefault="00C318A2" w:rsidP="00BD1C73">
            <w:pPr>
              <w:suppressLineNumbers/>
              <w:rPr>
                <w:rFonts w:ascii="David" w:hAnsi="David"/>
                <w:sz w:val="28"/>
                <w:szCs w:val="28"/>
                <w:rtl/>
              </w:rPr>
            </w:pPr>
          </w:p>
        </w:tc>
      </w:tr>
      <w:tr w:rsidR="00750D41" w14:paraId="3A2E611E" w14:textId="77777777" w:rsidTr="00BD1C73">
        <w:trPr>
          <w:jc w:val="center"/>
        </w:trPr>
        <w:tc>
          <w:tcPr>
            <w:tcW w:w="3096" w:type="dxa"/>
            <w:shd w:val="clear" w:color="auto" w:fill="auto"/>
          </w:tcPr>
          <w:p w14:paraId="2BF4AEA5" w14:textId="77777777" w:rsidR="00C318A2" w:rsidRPr="00BD1C73" w:rsidRDefault="00000000" w:rsidP="00BD1C73">
            <w:pPr>
              <w:suppressLineNumbers/>
              <w:rPr>
                <w:rFonts w:ascii="David" w:hAnsi="David"/>
                <w:sz w:val="28"/>
                <w:szCs w:val="28"/>
              </w:rPr>
            </w:pPr>
            <w:r w:rsidRPr="00BD1C73">
              <w:rPr>
                <w:rFonts w:ascii="David" w:hAnsi="David" w:hint="cs"/>
                <w:sz w:val="28"/>
                <w:szCs w:val="28"/>
                <w:rtl/>
              </w:rPr>
              <w:t>ה</w:t>
            </w:r>
            <w:r w:rsidRPr="00BD1C73">
              <w:rPr>
                <w:rFonts w:ascii="David" w:hAnsi="David"/>
                <w:sz w:val="28"/>
                <w:szCs w:val="28"/>
                <w:rtl/>
              </w:rPr>
              <w:t>משיבים</w:t>
            </w:r>
            <w:r w:rsidRPr="00BD1C73">
              <w:rPr>
                <w:rFonts w:ascii="David" w:hAnsi="David" w:hint="cs"/>
                <w:sz w:val="28"/>
                <w:szCs w:val="28"/>
                <w:rtl/>
              </w:rPr>
              <w:t xml:space="preserve"> בע"א 296/24:</w:t>
            </w:r>
          </w:p>
        </w:tc>
        <w:tc>
          <w:tcPr>
            <w:tcW w:w="5252" w:type="dxa"/>
            <w:shd w:val="clear" w:color="auto" w:fill="auto"/>
          </w:tcPr>
          <w:p w14:paraId="64DCB9BE" w14:textId="77777777" w:rsidR="00C318A2" w:rsidRPr="00BD1C73" w:rsidRDefault="00000000" w:rsidP="00BD1C73">
            <w:pPr>
              <w:suppressLineNumbers/>
              <w:rPr>
                <w:rFonts w:ascii="David" w:hAnsi="David"/>
                <w:sz w:val="28"/>
                <w:szCs w:val="28"/>
                <w:rtl/>
              </w:rPr>
            </w:pPr>
            <w:r w:rsidRPr="00BD1C73">
              <w:rPr>
                <w:rFonts w:ascii="David" w:hAnsi="David"/>
                <w:sz w:val="28"/>
                <w:szCs w:val="28"/>
                <w:rtl/>
              </w:rPr>
              <w:t>1. עו"ד ליאור מזור</w:t>
            </w:r>
            <w:r w:rsidRPr="00BD1C73">
              <w:rPr>
                <w:rFonts w:ascii="David" w:hAnsi="David" w:hint="cs"/>
                <w:sz w:val="28"/>
                <w:szCs w:val="28"/>
                <w:rtl/>
              </w:rPr>
              <w:t xml:space="preserve"> בתפקידו כנאמן לנכסי החייב </w:t>
            </w:r>
          </w:p>
          <w:p w14:paraId="02CEAB02" w14:textId="77777777" w:rsidR="00C318A2" w:rsidRPr="00BD1C73" w:rsidRDefault="00000000" w:rsidP="00BD1C73">
            <w:pPr>
              <w:suppressLineNumbers/>
              <w:rPr>
                <w:rFonts w:ascii="David" w:hAnsi="David"/>
                <w:sz w:val="28"/>
                <w:szCs w:val="28"/>
                <w:rtl/>
              </w:rPr>
            </w:pPr>
            <w:r w:rsidRPr="00BD1C73">
              <w:rPr>
                <w:rFonts w:ascii="David" w:hAnsi="David"/>
                <w:sz w:val="28"/>
                <w:szCs w:val="28"/>
                <w:rtl/>
              </w:rPr>
              <w:t>2. מגדלי אדומים בע"מ</w:t>
            </w:r>
          </w:p>
          <w:p w14:paraId="4D831E4D" w14:textId="77777777" w:rsidR="00C318A2" w:rsidRPr="00BD1C73" w:rsidRDefault="00000000" w:rsidP="00BD1C73">
            <w:pPr>
              <w:suppressLineNumbers/>
              <w:rPr>
                <w:rFonts w:ascii="David" w:hAnsi="David"/>
                <w:sz w:val="28"/>
                <w:szCs w:val="28"/>
                <w:rtl/>
              </w:rPr>
            </w:pPr>
            <w:r w:rsidRPr="00BD1C73">
              <w:rPr>
                <w:rFonts w:ascii="David" w:hAnsi="David"/>
                <w:sz w:val="28"/>
                <w:szCs w:val="28"/>
                <w:rtl/>
              </w:rPr>
              <w:t xml:space="preserve">3. </w:t>
            </w:r>
            <w:r w:rsidR="00D730B5" w:rsidRPr="00BD1C73">
              <w:rPr>
                <w:rFonts w:ascii="David" w:hAnsi="David" w:hint="cs"/>
                <w:sz w:val="28"/>
                <w:szCs w:val="28"/>
                <w:rtl/>
              </w:rPr>
              <w:t>כונס הנכסים הרשמי</w:t>
            </w:r>
          </w:p>
        </w:tc>
      </w:tr>
      <w:tr w:rsidR="00750D41" w14:paraId="1AE898D4" w14:textId="77777777" w:rsidTr="00BD1C73">
        <w:trPr>
          <w:jc w:val="center"/>
        </w:trPr>
        <w:tc>
          <w:tcPr>
            <w:tcW w:w="3096" w:type="dxa"/>
            <w:shd w:val="clear" w:color="auto" w:fill="auto"/>
          </w:tcPr>
          <w:p w14:paraId="20509105" w14:textId="77777777" w:rsidR="00C318A2" w:rsidRPr="00BD1C73" w:rsidRDefault="00C318A2" w:rsidP="00BD1C73">
            <w:pPr>
              <w:suppressLineNumbers/>
              <w:rPr>
                <w:rFonts w:ascii="David" w:hAnsi="David"/>
                <w:sz w:val="28"/>
                <w:szCs w:val="28"/>
                <w:rtl/>
              </w:rPr>
            </w:pPr>
          </w:p>
        </w:tc>
        <w:tc>
          <w:tcPr>
            <w:tcW w:w="5252" w:type="dxa"/>
            <w:shd w:val="clear" w:color="auto" w:fill="auto"/>
          </w:tcPr>
          <w:p w14:paraId="4DD82D7B" w14:textId="77777777" w:rsidR="00C318A2" w:rsidRPr="00BD1C73" w:rsidRDefault="00C318A2" w:rsidP="00BD1C73">
            <w:pPr>
              <w:suppressLineNumbers/>
              <w:rPr>
                <w:rFonts w:ascii="David" w:hAnsi="David"/>
                <w:rtl/>
              </w:rPr>
            </w:pPr>
          </w:p>
          <w:p w14:paraId="79559827" w14:textId="77777777" w:rsidR="00C318A2" w:rsidRPr="00BD1C73" w:rsidRDefault="00000000" w:rsidP="00BD1C73">
            <w:pPr>
              <w:suppressLineNumbers/>
              <w:jc w:val="both"/>
              <w:rPr>
                <w:rFonts w:ascii="David" w:hAnsi="David"/>
                <w:sz w:val="28"/>
                <w:szCs w:val="28"/>
                <w:rtl/>
              </w:rPr>
            </w:pPr>
            <w:r w:rsidRPr="00BD1C73">
              <w:rPr>
                <w:rFonts w:ascii="David" w:hAnsi="David" w:hint="cs"/>
                <w:rtl/>
              </w:rPr>
              <w:t>ערעור</w:t>
            </w:r>
            <w:r w:rsidR="00D730B5" w:rsidRPr="00BD1C73">
              <w:rPr>
                <w:rFonts w:ascii="David" w:hAnsi="David" w:hint="cs"/>
                <w:rtl/>
              </w:rPr>
              <w:t>ים</w:t>
            </w:r>
            <w:r w:rsidRPr="00BD1C73">
              <w:rPr>
                <w:rFonts w:ascii="David" w:hAnsi="David" w:hint="cs"/>
                <w:rtl/>
              </w:rPr>
              <w:t xml:space="preserve"> על החלטת</w:t>
            </w:r>
            <w:r w:rsidR="00D730B5" w:rsidRPr="00BD1C73">
              <w:rPr>
                <w:rFonts w:ascii="David" w:hAnsi="David" w:hint="cs"/>
                <w:rtl/>
              </w:rPr>
              <w:t xml:space="preserve"> </w:t>
            </w:r>
            <w:r w:rsidRPr="00BD1C73">
              <w:rPr>
                <w:rFonts w:ascii="David" w:hAnsi="David" w:hint="cs"/>
                <w:rtl/>
              </w:rPr>
              <w:t>בית המשפט המחוזי בחיפה</w:t>
            </w:r>
            <w:r w:rsidR="00D730B5" w:rsidRPr="00BD1C73">
              <w:rPr>
                <w:rFonts w:ascii="David" w:hAnsi="David" w:hint="cs"/>
                <w:rtl/>
              </w:rPr>
              <w:t xml:space="preserve"> (השופטת ע' חן-ברק)</w:t>
            </w:r>
            <w:r w:rsidRPr="00BD1C73">
              <w:rPr>
                <w:rFonts w:ascii="David" w:hAnsi="David" w:hint="cs"/>
                <w:rtl/>
              </w:rPr>
              <w:t xml:space="preserve"> מיום 10.9.2023 ב</w:t>
            </w:r>
            <w:hyperlink r:id="rId7" w:history="1">
              <w:r w:rsidR="00BD1C73" w:rsidRPr="00BD1C73">
                <w:rPr>
                  <w:rFonts w:ascii="David" w:hAnsi="David"/>
                  <w:color w:val="0000FF"/>
                  <w:u w:val="single"/>
                  <w:rtl/>
                </w:rPr>
                <w:t>פש"ר 44197-</w:t>
              </w:r>
              <w:bookmarkStart w:id="3" w:name="_Hlt177636526"/>
              <w:bookmarkStart w:id="4" w:name="_Hlt177636527"/>
              <w:r w:rsidR="00BD1C73" w:rsidRPr="00BD1C73">
                <w:rPr>
                  <w:rFonts w:ascii="David" w:hAnsi="David"/>
                  <w:color w:val="0000FF"/>
                  <w:u w:val="single"/>
                  <w:rtl/>
                </w:rPr>
                <w:t>0</w:t>
              </w:r>
              <w:bookmarkEnd w:id="3"/>
              <w:bookmarkEnd w:id="4"/>
              <w:r w:rsidR="00BD1C73" w:rsidRPr="00BD1C73">
                <w:rPr>
                  <w:rFonts w:ascii="David" w:hAnsi="David"/>
                  <w:color w:val="0000FF"/>
                  <w:u w:val="single"/>
                  <w:rtl/>
                </w:rPr>
                <w:t>8-17</w:t>
              </w:r>
            </w:hyperlink>
            <w:r w:rsidRPr="00BD1C73">
              <w:rPr>
                <w:rFonts w:ascii="David" w:hAnsi="David" w:hint="cs"/>
                <w:rtl/>
              </w:rPr>
              <w:t xml:space="preserve"> </w:t>
            </w:r>
            <w:r w:rsidR="009659A5">
              <w:rPr>
                <w:rFonts w:ascii="David" w:hAnsi="David" w:hint="cs"/>
                <w:rtl/>
              </w:rPr>
              <w:t>[נבו]</w:t>
            </w:r>
          </w:p>
          <w:p w14:paraId="63BB1384" w14:textId="77777777" w:rsidR="00C318A2" w:rsidRPr="00BD1C73" w:rsidRDefault="00C318A2" w:rsidP="00BD1C73">
            <w:pPr>
              <w:suppressLineNumbers/>
              <w:rPr>
                <w:rFonts w:ascii="David" w:hAnsi="David"/>
                <w:sz w:val="28"/>
                <w:szCs w:val="28"/>
                <w:rtl/>
              </w:rPr>
            </w:pPr>
          </w:p>
        </w:tc>
      </w:tr>
      <w:tr w:rsidR="00750D41" w14:paraId="0CB28AF6" w14:textId="77777777" w:rsidTr="00BD1C73">
        <w:trPr>
          <w:jc w:val="center"/>
        </w:trPr>
        <w:tc>
          <w:tcPr>
            <w:tcW w:w="3096" w:type="dxa"/>
            <w:shd w:val="clear" w:color="auto" w:fill="auto"/>
          </w:tcPr>
          <w:p w14:paraId="683BC9BD" w14:textId="77777777" w:rsidR="00C318A2" w:rsidRPr="00BD1C73" w:rsidRDefault="00000000" w:rsidP="00BD1C73">
            <w:pPr>
              <w:suppressLineNumbers/>
              <w:rPr>
                <w:rFonts w:ascii="David" w:hAnsi="David"/>
                <w:rtl/>
              </w:rPr>
            </w:pPr>
            <w:r w:rsidRPr="00BD1C73">
              <w:rPr>
                <w:rFonts w:ascii="David" w:hAnsi="David" w:hint="cs"/>
                <w:rtl/>
              </w:rPr>
              <w:t xml:space="preserve">תאריך </w:t>
            </w:r>
            <w:r w:rsidR="00427D86" w:rsidRPr="00BD1C73">
              <w:rPr>
                <w:rFonts w:ascii="David" w:hAnsi="David" w:hint="cs"/>
                <w:rtl/>
              </w:rPr>
              <w:t>הישיבה:</w:t>
            </w:r>
            <w:r w:rsidRPr="00BD1C73">
              <w:rPr>
                <w:rFonts w:ascii="David" w:hAnsi="David" w:hint="cs"/>
                <w:rtl/>
              </w:rPr>
              <w:t xml:space="preserve"> </w:t>
            </w:r>
          </w:p>
        </w:tc>
        <w:tc>
          <w:tcPr>
            <w:tcW w:w="5252" w:type="dxa"/>
            <w:shd w:val="clear" w:color="auto" w:fill="auto"/>
          </w:tcPr>
          <w:p w14:paraId="58B757DC" w14:textId="77777777" w:rsidR="00C318A2" w:rsidRPr="00BD1C73" w:rsidRDefault="00000000" w:rsidP="00BD1C73">
            <w:pPr>
              <w:suppressLineNumbers/>
              <w:rPr>
                <w:rFonts w:ascii="David" w:hAnsi="David"/>
                <w:rtl/>
              </w:rPr>
            </w:pPr>
            <w:r w:rsidRPr="00BD1C73">
              <w:rPr>
                <w:rFonts w:ascii="David" w:hAnsi="David" w:hint="cs"/>
                <w:rtl/>
              </w:rPr>
              <w:t>ח' באלול תשפ"ד (11 ספטמבר 2024)</w:t>
            </w:r>
          </w:p>
        </w:tc>
      </w:tr>
      <w:tr w:rsidR="00750D41" w14:paraId="747CF51F" w14:textId="77777777" w:rsidTr="00BD1C73">
        <w:trPr>
          <w:jc w:val="center"/>
        </w:trPr>
        <w:tc>
          <w:tcPr>
            <w:tcW w:w="3096" w:type="dxa"/>
            <w:shd w:val="clear" w:color="auto" w:fill="auto"/>
          </w:tcPr>
          <w:p w14:paraId="3889B265" w14:textId="77777777" w:rsidR="00C318A2" w:rsidRPr="00BD1C73" w:rsidRDefault="00C318A2" w:rsidP="00BD1C73">
            <w:pPr>
              <w:suppressLineNumbers/>
              <w:rPr>
                <w:rFonts w:ascii="David" w:hAnsi="David"/>
                <w:sz w:val="28"/>
                <w:szCs w:val="28"/>
                <w:rtl/>
              </w:rPr>
            </w:pPr>
          </w:p>
        </w:tc>
        <w:tc>
          <w:tcPr>
            <w:tcW w:w="5252" w:type="dxa"/>
            <w:shd w:val="clear" w:color="auto" w:fill="auto"/>
          </w:tcPr>
          <w:p w14:paraId="158D9AEB" w14:textId="77777777" w:rsidR="00C318A2" w:rsidRPr="00BD1C73" w:rsidRDefault="00C318A2" w:rsidP="00BD1C73">
            <w:pPr>
              <w:suppressLineNumbers/>
              <w:rPr>
                <w:rFonts w:ascii="David" w:hAnsi="David"/>
                <w:rtl/>
              </w:rPr>
            </w:pPr>
          </w:p>
        </w:tc>
      </w:tr>
      <w:tr w:rsidR="00750D41" w14:paraId="31ED7DE2" w14:textId="77777777" w:rsidTr="00BD1C73">
        <w:trPr>
          <w:jc w:val="center"/>
        </w:trPr>
        <w:tc>
          <w:tcPr>
            <w:tcW w:w="3096" w:type="dxa"/>
            <w:shd w:val="clear" w:color="auto" w:fill="auto"/>
          </w:tcPr>
          <w:p w14:paraId="78D49899" w14:textId="77777777" w:rsidR="00C318A2" w:rsidRPr="00BD1C73" w:rsidRDefault="00D730B5" w:rsidP="00BD1C73">
            <w:pPr>
              <w:suppressLineNumbers/>
              <w:rPr>
                <w:rFonts w:ascii="David" w:hAnsi="David"/>
                <w:sz w:val="28"/>
                <w:szCs w:val="28"/>
                <w:rtl/>
              </w:rPr>
            </w:pPr>
            <w:bookmarkStart w:id="5" w:name="FirstLawyer"/>
            <w:r w:rsidRPr="00BD1C73">
              <w:rPr>
                <w:rFonts w:ascii="David" w:hAnsi="David" w:hint="cs"/>
                <w:sz w:val="28"/>
                <w:szCs w:val="28"/>
                <w:rtl/>
              </w:rPr>
              <w:t xml:space="preserve">בשם </w:t>
            </w:r>
            <w:r w:rsidR="00000000" w:rsidRPr="00BD1C73">
              <w:rPr>
                <w:rFonts w:ascii="David" w:hAnsi="David" w:hint="cs"/>
                <w:sz w:val="28"/>
                <w:szCs w:val="28"/>
                <w:rtl/>
              </w:rPr>
              <w:t>המערער ב</w:t>
            </w:r>
            <w:r w:rsidR="00BD1C73" w:rsidRPr="009659A5">
              <w:rPr>
                <w:rFonts w:ascii="David" w:hAnsi="David"/>
                <w:sz w:val="28"/>
                <w:szCs w:val="28"/>
                <w:rtl/>
              </w:rPr>
              <w:t>ע"א 172/24</w:t>
            </w:r>
            <w:r w:rsidR="00000000" w:rsidRPr="00BD1C73">
              <w:rPr>
                <w:rFonts w:ascii="David" w:hAnsi="David" w:hint="cs"/>
                <w:sz w:val="28"/>
                <w:szCs w:val="28"/>
                <w:rtl/>
              </w:rPr>
              <w:t>, ומשיב 1 בערעור משיב לפי תקנה 137(ב) וב</w:t>
            </w:r>
            <w:r w:rsidR="00BD1C73" w:rsidRPr="009659A5">
              <w:rPr>
                <w:rFonts w:ascii="David" w:hAnsi="David"/>
                <w:sz w:val="28"/>
                <w:szCs w:val="28"/>
                <w:rtl/>
              </w:rPr>
              <w:t>ע"א 296/24</w:t>
            </w:r>
            <w:r w:rsidR="00000000" w:rsidRPr="00BD1C73">
              <w:rPr>
                <w:rFonts w:ascii="David" w:hAnsi="David" w:hint="cs"/>
                <w:sz w:val="28"/>
                <w:szCs w:val="28"/>
                <w:rtl/>
              </w:rPr>
              <w:t>:</w:t>
            </w:r>
          </w:p>
        </w:tc>
        <w:tc>
          <w:tcPr>
            <w:tcW w:w="5252" w:type="dxa"/>
            <w:shd w:val="clear" w:color="auto" w:fill="auto"/>
          </w:tcPr>
          <w:p w14:paraId="0EEF2CFB" w14:textId="77777777" w:rsidR="00D730B5" w:rsidRPr="00BD1C73" w:rsidRDefault="00D730B5" w:rsidP="00BD1C73">
            <w:pPr>
              <w:suppressLineNumbers/>
              <w:rPr>
                <w:rFonts w:ascii="David" w:hAnsi="David"/>
                <w:sz w:val="28"/>
                <w:szCs w:val="28"/>
                <w:rtl/>
              </w:rPr>
            </w:pPr>
          </w:p>
          <w:p w14:paraId="089D555B" w14:textId="77777777" w:rsidR="00D730B5" w:rsidRPr="00BD1C73" w:rsidRDefault="00D730B5" w:rsidP="00BD1C73">
            <w:pPr>
              <w:suppressLineNumbers/>
              <w:rPr>
                <w:rFonts w:ascii="David" w:hAnsi="David"/>
                <w:sz w:val="28"/>
                <w:szCs w:val="28"/>
                <w:rtl/>
              </w:rPr>
            </w:pPr>
          </w:p>
          <w:p w14:paraId="16E03211" w14:textId="77777777" w:rsidR="00C318A2" w:rsidRPr="00BD1C73" w:rsidRDefault="00427D86" w:rsidP="00BD1C73">
            <w:pPr>
              <w:suppressLineNumbers/>
              <w:rPr>
                <w:rFonts w:ascii="David" w:hAnsi="David"/>
                <w:sz w:val="28"/>
                <w:szCs w:val="28"/>
                <w:rtl/>
              </w:rPr>
            </w:pPr>
            <w:r w:rsidRPr="00BD1C73">
              <w:rPr>
                <w:rFonts w:ascii="David" w:hAnsi="David" w:hint="cs"/>
                <w:sz w:val="28"/>
                <w:szCs w:val="28"/>
                <w:rtl/>
              </w:rPr>
              <w:t>עו</w:t>
            </w:r>
            <w:r w:rsidRPr="00BD1C73">
              <w:rPr>
                <w:rFonts w:ascii="David" w:hAnsi="David"/>
                <w:sz w:val="28"/>
                <w:szCs w:val="28"/>
              </w:rPr>
              <w:t>"</w:t>
            </w:r>
            <w:r w:rsidRPr="00BD1C73">
              <w:rPr>
                <w:rFonts w:ascii="David" w:hAnsi="David" w:hint="cs"/>
                <w:sz w:val="28"/>
                <w:szCs w:val="28"/>
                <w:rtl/>
              </w:rPr>
              <w:t>ד</w:t>
            </w:r>
            <w:r w:rsidRPr="00BD1C73">
              <w:rPr>
                <w:rFonts w:ascii="David" w:hAnsi="David"/>
                <w:sz w:val="28"/>
                <w:szCs w:val="28"/>
              </w:rPr>
              <w:t xml:space="preserve"> </w:t>
            </w:r>
            <w:r w:rsidRPr="00BD1C73">
              <w:rPr>
                <w:rFonts w:ascii="David" w:hAnsi="David" w:hint="cs"/>
                <w:sz w:val="28"/>
                <w:szCs w:val="28"/>
                <w:rtl/>
              </w:rPr>
              <w:t>ליאור</w:t>
            </w:r>
            <w:r w:rsidRPr="00BD1C73">
              <w:rPr>
                <w:rFonts w:ascii="David" w:hAnsi="David"/>
                <w:sz w:val="28"/>
                <w:szCs w:val="28"/>
              </w:rPr>
              <w:t xml:space="preserve"> </w:t>
            </w:r>
            <w:r w:rsidRPr="00BD1C73">
              <w:rPr>
                <w:rFonts w:ascii="David" w:hAnsi="David" w:hint="cs"/>
                <w:sz w:val="28"/>
                <w:szCs w:val="28"/>
                <w:rtl/>
              </w:rPr>
              <w:t xml:space="preserve">מזור; </w:t>
            </w:r>
            <w:r w:rsidR="00000000" w:rsidRPr="00BD1C73">
              <w:rPr>
                <w:rFonts w:ascii="David" w:hAnsi="David" w:hint="cs"/>
                <w:sz w:val="28"/>
                <w:szCs w:val="28"/>
                <w:rtl/>
              </w:rPr>
              <w:t>עו</w:t>
            </w:r>
            <w:r w:rsidR="00000000" w:rsidRPr="00BD1C73">
              <w:rPr>
                <w:rFonts w:ascii="David" w:hAnsi="David"/>
                <w:sz w:val="28"/>
                <w:szCs w:val="28"/>
              </w:rPr>
              <w:t>"</w:t>
            </w:r>
            <w:r w:rsidR="00000000" w:rsidRPr="00BD1C73">
              <w:rPr>
                <w:rFonts w:ascii="David" w:hAnsi="David" w:hint="cs"/>
                <w:sz w:val="28"/>
                <w:szCs w:val="28"/>
                <w:rtl/>
              </w:rPr>
              <w:t>ד</w:t>
            </w:r>
            <w:r w:rsidR="00000000" w:rsidRPr="00BD1C73">
              <w:rPr>
                <w:rFonts w:ascii="David" w:hAnsi="David"/>
                <w:sz w:val="28"/>
                <w:szCs w:val="28"/>
              </w:rPr>
              <w:t xml:space="preserve"> </w:t>
            </w:r>
            <w:r w:rsidR="00000000" w:rsidRPr="00BD1C73">
              <w:rPr>
                <w:rFonts w:ascii="David" w:hAnsi="David" w:hint="cs"/>
                <w:sz w:val="28"/>
                <w:szCs w:val="28"/>
                <w:rtl/>
              </w:rPr>
              <w:t>ענבל</w:t>
            </w:r>
            <w:r w:rsidR="00000000" w:rsidRPr="00BD1C73">
              <w:rPr>
                <w:rFonts w:ascii="David" w:hAnsi="David"/>
                <w:sz w:val="28"/>
                <w:szCs w:val="28"/>
              </w:rPr>
              <w:t xml:space="preserve"> </w:t>
            </w:r>
            <w:r w:rsidR="00000000" w:rsidRPr="00BD1C73">
              <w:rPr>
                <w:rFonts w:ascii="David" w:hAnsi="David" w:hint="cs"/>
                <w:sz w:val="28"/>
                <w:szCs w:val="28"/>
                <w:rtl/>
              </w:rPr>
              <w:t>בית</w:t>
            </w:r>
            <w:r w:rsidR="00000000" w:rsidRPr="00BD1C73">
              <w:rPr>
                <w:rFonts w:ascii="David" w:hAnsi="David"/>
                <w:sz w:val="28"/>
                <w:szCs w:val="28"/>
              </w:rPr>
              <w:t xml:space="preserve"> </w:t>
            </w:r>
            <w:r w:rsidR="00D730B5" w:rsidRPr="00BD1C73">
              <w:rPr>
                <w:rFonts w:ascii="David" w:hAnsi="David" w:hint="cs"/>
                <w:sz w:val="28"/>
                <w:szCs w:val="28"/>
                <w:rtl/>
              </w:rPr>
              <w:t>הלחמ</w:t>
            </w:r>
            <w:r w:rsidRPr="00BD1C73">
              <w:rPr>
                <w:rFonts w:ascii="David" w:hAnsi="David" w:hint="cs"/>
                <w:sz w:val="28"/>
                <w:szCs w:val="28"/>
                <w:rtl/>
              </w:rPr>
              <w:t>י</w:t>
            </w:r>
          </w:p>
        </w:tc>
      </w:tr>
      <w:bookmarkEnd w:id="5"/>
      <w:tr w:rsidR="00750D41" w14:paraId="2D7C5AAF" w14:textId="77777777" w:rsidTr="00BD1C73">
        <w:trPr>
          <w:jc w:val="center"/>
        </w:trPr>
        <w:tc>
          <w:tcPr>
            <w:tcW w:w="3096" w:type="dxa"/>
            <w:shd w:val="clear" w:color="auto" w:fill="auto"/>
          </w:tcPr>
          <w:p w14:paraId="7F031A6B" w14:textId="77777777" w:rsidR="00C318A2" w:rsidRPr="00BD1C73" w:rsidRDefault="00C318A2" w:rsidP="00BD1C73">
            <w:pPr>
              <w:suppressLineNumbers/>
              <w:rPr>
                <w:rFonts w:ascii="David" w:hAnsi="David"/>
                <w:sz w:val="28"/>
                <w:szCs w:val="28"/>
                <w:rtl/>
              </w:rPr>
            </w:pPr>
          </w:p>
        </w:tc>
        <w:tc>
          <w:tcPr>
            <w:tcW w:w="5252" w:type="dxa"/>
            <w:shd w:val="clear" w:color="auto" w:fill="auto"/>
          </w:tcPr>
          <w:p w14:paraId="35197A7A" w14:textId="77777777" w:rsidR="00C318A2" w:rsidRPr="00BD1C73" w:rsidRDefault="00C318A2" w:rsidP="00BD1C73">
            <w:pPr>
              <w:suppressLineNumbers/>
              <w:rPr>
                <w:rFonts w:ascii="David" w:hAnsi="David"/>
                <w:rtl/>
              </w:rPr>
            </w:pPr>
          </w:p>
        </w:tc>
      </w:tr>
      <w:tr w:rsidR="00750D41" w14:paraId="49197BE2" w14:textId="77777777" w:rsidTr="00BD1C73">
        <w:trPr>
          <w:jc w:val="center"/>
        </w:trPr>
        <w:tc>
          <w:tcPr>
            <w:tcW w:w="3096" w:type="dxa"/>
            <w:shd w:val="clear" w:color="auto" w:fill="auto"/>
          </w:tcPr>
          <w:p w14:paraId="16AFC68A" w14:textId="77777777" w:rsidR="00C318A2" w:rsidRPr="00BD1C73" w:rsidRDefault="00000000" w:rsidP="00BD1C73">
            <w:pPr>
              <w:suppressLineNumbers/>
              <w:rPr>
                <w:rFonts w:ascii="David" w:hAnsi="David"/>
                <w:sz w:val="28"/>
                <w:szCs w:val="28"/>
                <w:rtl/>
              </w:rPr>
            </w:pPr>
            <w:r w:rsidRPr="00BD1C73">
              <w:rPr>
                <w:rFonts w:ascii="David" w:hAnsi="David" w:hint="cs"/>
                <w:sz w:val="28"/>
                <w:szCs w:val="28"/>
                <w:rtl/>
              </w:rPr>
              <w:t>בשם</w:t>
            </w:r>
            <w:r w:rsidRPr="00BD1C73">
              <w:rPr>
                <w:rFonts w:ascii="David" w:hAnsi="David"/>
                <w:sz w:val="28"/>
                <w:szCs w:val="28"/>
              </w:rPr>
              <w:t xml:space="preserve"> </w:t>
            </w:r>
            <w:r w:rsidR="00427D86" w:rsidRPr="00BD1C73">
              <w:rPr>
                <w:rFonts w:ascii="David" w:hAnsi="David" w:hint="cs"/>
                <w:sz w:val="28"/>
                <w:szCs w:val="28"/>
                <w:rtl/>
              </w:rPr>
              <w:t xml:space="preserve">המערערת בערעור </w:t>
            </w:r>
            <w:r w:rsidRPr="00BD1C73">
              <w:rPr>
                <w:rFonts w:ascii="David" w:hAnsi="David" w:hint="cs"/>
                <w:sz w:val="28"/>
                <w:szCs w:val="28"/>
                <w:rtl/>
              </w:rPr>
              <w:t>לפי</w:t>
            </w:r>
            <w:r w:rsidRPr="00BD1C73">
              <w:rPr>
                <w:rFonts w:ascii="David" w:hAnsi="David"/>
                <w:sz w:val="28"/>
                <w:szCs w:val="28"/>
              </w:rPr>
              <w:t xml:space="preserve"> </w:t>
            </w:r>
            <w:r w:rsidRPr="00BD1C73">
              <w:rPr>
                <w:rFonts w:ascii="David" w:hAnsi="David" w:hint="cs"/>
                <w:sz w:val="28"/>
                <w:szCs w:val="28"/>
                <w:rtl/>
              </w:rPr>
              <w:t>תקנה</w:t>
            </w:r>
            <w:r w:rsidR="009B0E57" w:rsidRPr="00BD1C73">
              <w:rPr>
                <w:rFonts w:ascii="David" w:hAnsi="David" w:hint="cs"/>
                <w:sz w:val="28"/>
                <w:szCs w:val="28"/>
                <w:rtl/>
              </w:rPr>
              <w:t xml:space="preserve"> 137(ב)</w:t>
            </w:r>
            <w:r w:rsidR="0032456E" w:rsidRPr="00BD1C73">
              <w:rPr>
                <w:rFonts w:ascii="David" w:hAnsi="David" w:hint="cs"/>
                <w:sz w:val="28"/>
                <w:szCs w:val="28"/>
                <w:rtl/>
              </w:rPr>
              <w:t xml:space="preserve"> </w:t>
            </w:r>
            <w:r w:rsidRPr="00BD1C73">
              <w:rPr>
                <w:rFonts w:ascii="David" w:hAnsi="David" w:hint="cs"/>
                <w:sz w:val="28"/>
                <w:szCs w:val="28"/>
                <w:rtl/>
              </w:rPr>
              <w:t>ומשיבה</w:t>
            </w:r>
            <w:r w:rsidRPr="00BD1C73">
              <w:rPr>
                <w:rFonts w:ascii="David" w:hAnsi="David"/>
                <w:sz w:val="28"/>
                <w:szCs w:val="28"/>
              </w:rPr>
              <w:t xml:space="preserve"> 2 </w:t>
            </w:r>
            <w:r w:rsidRPr="00BD1C73">
              <w:rPr>
                <w:rFonts w:ascii="David" w:hAnsi="David" w:hint="cs"/>
                <w:sz w:val="28"/>
                <w:szCs w:val="28"/>
                <w:rtl/>
              </w:rPr>
              <w:t>ב</w:t>
            </w:r>
            <w:r w:rsidR="00BD1C73" w:rsidRPr="009659A5">
              <w:rPr>
                <w:rFonts w:ascii="David" w:hAnsi="David"/>
                <w:sz w:val="28"/>
                <w:szCs w:val="28"/>
                <w:rtl/>
              </w:rPr>
              <w:t>ע"א  172/24</w:t>
            </w:r>
            <w:r w:rsidR="0032456E" w:rsidRPr="00BD1C73">
              <w:rPr>
                <w:rFonts w:ascii="David" w:hAnsi="David" w:hint="cs"/>
                <w:sz w:val="28"/>
                <w:szCs w:val="28"/>
                <w:rtl/>
              </w:rPr>
              <w:t xml:space="preserve"> </w:t>
            </w:r>
            <w:r w:rsidR="009B0E57" w:rsidRPr="00BD1C73">
              <w:rPr>
                <w:rFonts w:ascii="David" w:hAnsi="David" w:hint="cs"/>
                <w:sz w:val="28"/>
                <w:szCs w:val="28"/>
                <w:rtl/>
              </w:rPr>
              <w:t>וב</w:t>
            </w:r>
            <w:r w:rsidR="00BD1C73" w:rsidRPr="009659A5">
              <w:rPr>
                <w:rFonts w:ascii="David" w:hAnsi="David"/>
                <w:sz w:val="28"/>
                <w:szCs w:val="28"/>
                <w:rtl/>
              </w:rPr>
              <w:t>ע"א 296/24</w:t>
            </w:r>
            <w:r w:rsidR="009B0E57" w:rsidRPr="00BD1C73">
              <w:rPr>
                <w:rFonts w:ascii="David" w:hAnsi="David" w:hint="cs"/>
                <w:sz w:val="28"/>
                <w:szCs w:val="28"/>
                <w:rtl/>
              </w:rPr>
              <w:t>:</w:t>
            </w:r>
          </w:p>
        </w:tc>
        <w:tc>
          <w:tcPr>
            <w:tcW w:w="5252" w:type="dxa"/>
            <w:shd w:val="clear" w:color="auto" w:fill="auto"/>
          </w:tcPr>
          <w:p w14:paraId="7060633D" w14:textId="77777777" w:rsidR="0032456E" w:rsidRPr="00BD1C73" w:rsidRDefault="0032456E" w:rsidP="00BD1C73">
            <w:pPr>
              <w:suppressLineNumbers/>
              <w:rPr>
                <w:rFonts w:ascii="David" w:hAnsi="David"/>
                <w:sz w:val="28"/>
                <w:szCs w:val="28"/>
                <w:rtl/>
              </w:rPr>
            </w:pPr>
          </w:p>
          <w:p w14:paraId="3CCC0376" w14:textId="77777777" w:rsidR="0032456E" w:rsidRPr="00BD1C73" w:rsidRDefault="0032456E" w:rsidP="00BD1C73">
            <w:pPr>
              <w:suppressLineNumbers/>
              <w:rPr>
                <w:rFonts w:ascii="David" w:hAnsi="David"/>
                <w:sz w:val="28"/>
                <w:szCs w:val="28"/>
                <w:rtl/>
              </w:rPr>
            </w:pPr>
          </w:p>
          <w:p w14:paraId="79AD99B5" w14:textId="77777777" w:rsidR="00884385" w:rsidRPr="00BD1C73" w:rsidRDefault="00884385" w:rsidP="00BD1C73">
            <w:pPr>
              <w:suppressLineNumbers/>
              <w:rPr>
                <w:rFonts w:ascii="David" w:hAnsi="David"/>
                <w:sz w:val="28"/>
                <w:szCs w:val="28"/>
                <w:rtl/>
              </w:rPr>
            </w:pPr>
          </w:p>
          <w:p w14:paraId="13EEBEC6" w14:textId="77777777" w:rsidR="00C318A2" w:rsidRPr="00BD1C73" w:rsidRDefault="00000000" w:rsidP="00BD1C73">
            <w:pPr>
              <w:suppressLineNumbers/>
              <w:rPr>
                <w:rFonts w:ascii="David" w:hAnsi="David"/>
                <w:sz w:val="28"/>
                <w:szCs w:val="28"/>
                <w:rtl/>
              </w:rPr>
            </w:pPr>
            <w:r w:rsidRPr="00BD1C73">
              <w:rPr>
                <w:rFonts w:ascii="David" w:hAnsi="David" w:hint="cs"/>
                <w:sz w:val="28"/>
                <w:szCs w:val="28"/>
                <w:rtl/>
              </w:rPr>
              <w:t>עו</w:t>
            </w:r>
            <w:r w:rsidRPr="00BD1C73">
              <w:rPr>
                <w:rFonts w:ascii="David" w:hAnsi="David"/>
                <w:sz w:val="28"/>
                <w:szCs w:val="28"/>
              </w:rPr>
              <w:t>"</w:t>
            </w:r>
            <w:r w:rsidRPr="00BD1C73">
              <w:rPr>
                <w:rFonts w:ascii="David" w:hAnsi="David" w:hint="cs"/>
                <w:sz w:val="28"/>
                <w:szCs w:val="28"/>
                <w:rtl/>
              </w:rPr>
              <w:t>ד</w:t>
            </w:r>
            <w:r w:rsidRPr="00BD1C73">
              <w:rPr>
                <w:rFonts w:ascii="David" w:hAnsi="David"/>
                <w:sz w:val="28"/>
                <w:szCs w:val="28"/>
              </w:rPr>
              <w:t xml:space="preserve"> </w:t>
            </w:r>
            <w:r w:rsidRPr="00BD1C73">
              <w:rPr>
                <w:rFonts w:ascii="David" w:hAnsi="David" w:hint="cs"/>
                <w:sz w:val="28"/>
                <w:szCs w:val="28"/>
                <w:rtl/>
              </w:rPr>
              <w:t>ניר</w:t>
            </w:r>
            <w:r w:rsidRPr="00BD1C73">
              <w:rPr>
                <w:rFonts w:ascii="David" w:hAnsi="David"/>
                <w:sz w:val="28"/>
                <w:szCs w:val="28"/>
              </w:rPr>
              <w:t xml:space="preserve"> </w:t>
            </w:r>
            <w:r w:rsidR="0032456E" w:rsidRPr="00BD1C73">
              <w:rPr>
                <w:rFonts w:ascii="David" w:hAnsi="David" w:hint="cs"/>
                <w:sz w:val="28"/>
                <w:szCs w:val="28"/>
                <w:rtl/>
              </w:rPr>
              <w:t xml:space="preserve">שמרי; </w:t>
            </w:r>
            <w:r w:rsidRPr="00BD1C73">
              <w:rPr>
                <w:rFonts w:ascii="David" w:hAnsi="David" w:hint="cs"/>
                <w:sz w:val="28"/>
                <w:szCs w:val="28"/>
                <w:rtl/>
              </w:rPr>
              <w:t>עו</w:t>
            </w:r>
            <w:r w:rsidRPr="00BD1C73">
              <w:rPr>
                <w:rFonts w:ascii="David" w:hAnsi="David"/>
                <w:sz w:val="28"/>
                <w:szCs w:val="28"/>
              </w:rPr>
              <w:t>"</w:t>
            </w:r>
            <w:r w:rsidRPr="00BD1C73">
              <w:rPr>
                <w:rFonts w:ascii="David" w:hAnsi="David" w:hint="cs"/>
                <w:sz w:val="28"/>
                <w:szCs w:val="28"/>
                <w:rtl/>
              </w:rPr>
              <w:t>ד</w:t>
            </w:r>
            <w:r w:rsidRPr="00BD1C73">
              <w:rPr>
                <w:rFonts w:ascii="David" w:hAnsi="David"/>
                <w:sz w:val="28"/>
                <w:szCs w:val="28"/>
              </w:rPr>
              <w:t xml:space="preserve"> </w:t>
            </w:r>
            <w:r w:rsidRPr="00BD1C73">
              <w:rPr>
                <w:rFonts w:ascii="David" w:hAnsi="David" w:hint="cs"/>
                <w:sz w:val="28"/>
                <w:szCs w:val="28"/>
                <w:rtl/>
              </w:rPr>
              <w:t>יהונתן</w:t>
            </w:r>
            <w:r w:rsidRPr="00BD1C73">
              <w:rPr>
                <w:rFonts w:ascii="David" w:hAnsi="David"/>
                <w:sz w:val="28"/>
                <w:szCs w:val="28"/>
              </w:rPr>
              <w:t xml:space="preserve"> </w:t>
            </w:r>
            <w:r w:rsidRPr="00BD1C73">
              <w:rPr>
                <w:rFonts w:ascii="David" w:hAnsi="David" w:hint="cs"/>
                <w:sz w:val="28"/>
                <w:szCs w:val="28"/>
                <w:rtl/>
              </w:rPr>
              <w:t>אשכנזי</w:t>
            </w:r>
          </w:p>
        </w:tc>
      </w:tr>
      <w:tr w:rsidR="00750D41" w14:paraId="6D0B7389" w14:textId="77777777" w:rsidTr="00BD1C73">
        <w:trPr>
          <w:jc w:val="center"/>
        </w:trPr>
        <w:tc>
          <w:tcPr>
            <w:tcW w:w="3096" w:type="dxa"/>
            <w:shd w:val="clear" w:color="auto" w:fill="auto"/>
          </w:tcPr>
          <w:p w14:paraId="71B271A7" w14:textId="77777777" w:rsidR="00C318A2" w:rsidRPr="00BD1C73" w:rsidRDefault="00C318A2" w:rsidP="00BD1C73">
            <w:pPr>
              <w:suppressLineNumbers/>
              <w:rPr>
                <w:rFonts w:ascii="David" w:hAnsi="David"/>
                <w:sz w:val="28"/>
                <w:szCs w:val="28"/>
                <w:rtl/>
              </w:rPr>
            </w:pPr>
          </w:p>
        </w:tc>
        <w:tc>
          <w:tcPr>
            <w:tcW w:w="5252" w:type="dxa"/>
            <w:shd w:val="clear" w:color="auto" w:fill="auto"/>
          </w:tcPr>
          <w:p w14:paraId="65BF0ABA" w14:textId="77777777" w:rsidR="00C318A2" w:rsidRPr="00BD1C73" w:rsidRDefault="00C318A2" w:rsidP="00BD1C73">
            <w:pPr>
              <w:suppressLineNumbers/>
              <w:rPr>
                <w:rFonts w:ascii="David" w:hAnsi="David"/>
                <w:sz w:val="28"/>
                <w:szCs w:val="28"/>
                <w:rtl/>
              </w:rPr>
            </w:pPr>
          </w:p>
        </w:tc>
      </w:tr>
      <w:tr w:rsidR="00750D41" w14:paraId="09274771" w14:textId="77777777" w:rsidTr="00BD1C73">
        <w:trPr>
          <w:jc w:val="center"/>
        </w:trPr>
        <w:tc>
          <w:tcPr>
            <w:tcW w:w="3096" w:type="dxa"/>
            <w:shd w:val="clear" w:color="auto" w:fill="auto"/>
          </w:tcPr>
          <w:p w14:paraId="6B5C332C" w14:textId="77777777" w:rsidR="00C318A2" w:rsidRPr="00BD1C73" w:rsidRDefault="00990B1B" w:rsidP="00BD1C73">
            <w:pPr>
              <w:suppressLineNumbers/>
              <w:rPr>
                <w:rFonts w:ascii="David" w:hAnsi="David"/>
                <w:sz w:val="28"/>
                <w:szCs w:val="28"/>
                <w:rtl/>
              </w:rPr>
            </w:pPr>
            <w:r w:rsidRPr="00BD1C73">
              <w:rPr>
                <w:rFonts w:ascii="David" w:hAnsi="David" w:hint="cs"/>
                <w:sz w:val="28"/>
                <w:szCs w:val="28"/>
                <w:rtl/>
              </w:rPr>
              <w:t xml:space="preserve">בשם </w:t>
            </w:r>
            <w:r w:rsidR="00000000" w:rsidRPr="00BD1C73">
              <w:rPr>
                <w:rFonts w:ascii="David" w:hAnsi="David" w:hint="cs"/>
                <w:sz w:val="28"/>
                <w:szCs w:val="28"/>
                <w:rtl/>
              </w:rPr>
              <w:t>המערער</w:t>
            </w:r>
            <w:r w:rsidR="00000000" w:rsidRPr="00BD1C73">
              <w:rPr>
                <w:rFonts w:ascii="David" w:hAnsi="David"/>
                <w:sz w:val="28"/>
                <w:szCs w:val="28"/>
              </w:rPr>
              <w:t xml:space="preserve"> </w:t>
            </w:r>
            <w:r w:rsidR="00000000" w:rsidRPr="00BD1C73">
              <w:rPr>
                <w:rFonts w:ascii="David" w:hAnsi="David" w:hint="cs"/>
                <w:sz w:val="28"/>
                <w:szCs w:val="28"/>
                <w:rtl/>
              </w:rPr>
              <w:t>בע</w:t>
            </w:r>
            <w:r w:rsidR="00000000" w:rsidRPr="00BD1C73">
              <w:rPr>
                <w:rFonts w:ascii="David" w:hAnsi="David"/>
                <w:sz w:val="28"/>
                <w:szCs w:val="28"/>
              </w:rPr>
              <w:t>"</w:t>
            </w:r>
            <w:r w:rsidR="00000000" w:rsidRPr="00BD1C73">
              <w:rPr>
                <w:rFonts w:ascii="David" w:hAnsi="David" w:hint="cs"/>
                <w:sz w:val="28"/>
                <w:szCs w:val="28"/>
                <w:rtl/>
              </w:rPr>
              <w:t>א</w:t>
            </w:r>
            <w:r w:rsidR="00A80E98" w:rsidRPr="00BD1C73">
              <w:rPr>
                <w:rFonts w:ascii="David" w:hAnsi="David" w:hint="cs"/>
                <w:sz w:val="28"/>
                <w:szCs w:val="28"/>
                <w:rtl/>
              </w:rPr>
              <w:t xml:space="preserve"> </w:t>
            </w:r>
            <w:r w:rsidR="009B0E57" w:rsidRPr="00BD1C73">
              <w:rPr>
                <w:rFonts w:ascii="David" w:hAnsi="David"/>
                <w:sz w:val="28"/>
                <w:szCs w:val="28"/>
              </w:rPr>
              <w:t>296/2</w:t>
            </w:r>
            <w:r w:rsidR="00A80E98" w:rsidRPr="00BD1C73">
              <w:rPr>
                <w:rFonts w:ascii="David" w:hAnsi="David"/>
                <w:sz w:val="28"/>
                <w:szCs w:val="28"/>
              </w:rPr>
              <w:t>4</w:t>
            </w:r>
            <w:r w:rsidR="00A80E98" w:rsidRPr="00BD1C73">
              <w:rPr>
                <w:rFonts w:ascii="David" w:hAnsi="David" w:hint="cs"/>
                <w:sz w:val="28"/>
                <w:szCs w:val="28"/>
                <w:rtl/>
              </w:rPr>
              <w:t xml:space="preserve">, </w:t>
            </w:r>
            <w:r w:rsidR="00000000" w:rsidRPr="00BD1C73">
              <w:rPr>
                <w:rFonts w:ascii="David" w:hAnsi="David" w:hint="cs"/>
                <w:sz w:val="28"/>
                <w:szCs w:val="28"/>
                <w:rtl/>
              </w:rPr>
              <w:t>משיב</w:t>
            </w:r>
            <w:r w:rsidR="009B0E57" w:rsidRPr="00BD1C73">
              <w:rPr>
                <w:rFonts w:ascii="David" w:hAnsi="David" w:hint="cs"/>
                <w:sz w:val="28"/>
                <w:szCs w:val="28"/>
                <w:rtl/>
              </w:rPr>
              <w:t xml:space="preserve"> 1 ב</w:t>
            </w:r>
            <w:r w:rsidR="00BD1C73" w:rsidRPr="009659A5">
              <w:rPr>
                <w:rFonts w:ascii="David" w:hAnsi="David"/>
                <w:sz w:val="28"/>
                <w:szCs w:val="28"/>
                <w:rtl/>
              </w:rPr>
              <w:t>ע"א 172/24</w:t>
            </w:r>
            <w:r w:rsidR="009B0E57" w:rsidRPr="00BD1C73">
              <w:rPr>
                <w:rFonts w:ascii="David" w:hAnsi="David"/>
                <w:sz w:val="28"/>
                <w:szCs w:val="28"/>
              </w:rPr>
              <w:t xml:space="preserve"> </w:t>
            </w:r>
            <w:r w:rsidR="00A80E98" w:rsidRPr="00BD1C73">
              <w:rPr>
                <w:rFonts w:ascii="David" w:hAnsi="David" w:hint="cs"/>
                <w:sz w:val="28"/>
                <w:szCs w:val="28"/>
                <w:rtl/>
              </w:rPr>
              <w:t xml:space="preserve"> </w:t>
            </w:r>
            <w:r w:rsidR="00000000" w:rsidRPr="00BD1C73">
              <w:rPr>
                <w:rFonts w:ascii="David" w:hAnsi="David" w:hint="cs"/>
                <w:sz w:val="28"/>
                <w:szCs w:val="28"/>
                <w:rtl/>
              </w:rPr>
              <w:t>ומשיב</w:t>
            </w:r>
            <w:r w:rsidR="00000000" w:rsidRPr="00BD1C73">
              <w:rPr>
                <w:rFonts w:ascii="David" w:hAnsi="David"/>
                <w:sz w:val="28"/>
                <w:szCs w:val="28"/>
              </w:rPr>
              <w:t xml:space="preserve"> 2 </w:t>
            </w:r>
            <w:r w:rsidR="00000000" w:rsidRPr="00BD1C73">
              <w:rPr>
                <w:rFonts w:ascii="David" w:hAnsi="David" w:hint="cs"/>
                <w:sz w:val="28"/>
                <w:szCs w:val="28"/>
                <w:rtl/>
              </w:rPr>
              <w:t>בערעור</w:t>
            </w:r>
            <w:r w:rsidR="009B0E57" w:rsidRPr="00BD1C73">
              <w:rPr>
                <w:rFonts w:ascii="David" w:hAnsi="David" w:hint="cs"/>
                <w:sz w:val="28"/>
                <w:szCs w:val="28"/>
                <w:rtl/>
              </w:rPr>
              <w:t xml:space="preserve"> </w:t>
            </w:r>
            <w:r w:rsidR="00000000" w:rsidRPr="00BD1C73">
              <w:rPr>
                <w:rFonts w:ascii="David" w:hAnsi="David" w:hint="cs"/>
                <w:sz w:val="28"/>
                <w:szCs w:val="28"/>
                <w:rtl/>
              </w:rPr>
              <w:t>משיב</w:t>
            </w:r>
            <w:r w:rsidR="00000000" w:rsidRPr="00BD1C73">
              <w:rPr>
                <w:rFonts w:ascii="David" w:hAnsi="David"/>
                <w:sz w:val="28"/>
                <w:szCs w:val="28"/>
              </w:rPr>
              <w:t xml:space="preserve"> </w:t>
            </w:r>
            <w:r w:rsidR="00000000" w:rsidRPr="00BD1C73">
              <w:rPr>
                <w:rFonts w:ascii="David" w:hAnsi="David" w:hint="cs"/>
                <w:sz w:val="28"/>
                <w:szCs w:val="28"/>
                <w:rtl/>
              </w:rPr>
              <w:t>לפי</w:t>
            </w:r>
            <w:r w:rsidR="00000000" w:rsidRPr="00BD1C73">
              <w:rPr>
                <w:rFonts w:ascii="David" w:hAnsi="David"/>
                <w:sz w:val="28"/>
                <w:szCs w:val="28"/>
              </w:rPr>
              <w:t xml:space="preserve"> </w:t>
            </w:r>
            <w:r w:rsidR="009B0E57" w:rsidRPr="00BD1C73">
              <w:rPr>
                <w:rFonts w:ascii="David" w:hAnsi="David" w:hint="cs"/>
                <w:sz w:val="28"/>
                <w:szCs w:val="28"/>
                <w:rtl/>
              </w:rPr>
              <w:t xml:space="preserve">תקנה </w:t>
            </w:r>
            <w:r w:rsidR="009B0E57" w:rsidRPr="00BD1C73">
              <w:rPr>
                <w:rFonts w:ascii="David" w:hAnsi="David" w:hint="cs"/>
                <w:sz w:val="28"/>
                <w:szCs w:val="28"/>
                <w:rtl/>
              </w:rPr>
              <w:lastRenderedPageBreak/>
              <w:t>137(ב):</w:t>
            </w:r>
          </w:p>
        </w:tc>
        <w:tc>
          <w:tcPr>
            <w:tcW w:w="5252" w:type="dxa"/>
            <w:shd w:val="clear" w:color="auto" w:fill="auto"/>
          </w:tcPr>
          <w:p w14:paraId="4B24081C" w14:textId="77777777" w:rsidR="0032456E" w:rsidRPr="00BD1C73" w:rsidRDefault="0032456E" w:rsidP="00BD1C73">
            <w:pPr>
              <w:suppressLineNumbers/>
              <w:rPr>
                <w:rFonts w:ascii="David" w:hAnsi="David"/>
                <w:sz w:val="28"/>
                <w:szCs w:val="28"/>
                <w:rtl/>
              </w:rPr>
            </w:pPr>
          </w:p>
          <w:p w14:paraId="4057EE04" w14:textId="77777777" w:rsidR="0032456E" w:rsidRPr="00BD1C73" w:rsidRDefault="0032456E" w:rsidP="00BD1C73">
            <w:pPr>
              <w:suppressLineNumbers/>
              <w:rPr>
                <w:rFonts w:ascii="David" w:hAnsi="David"/>
                <w:sz w:val="28"/>
                <w:szCs w:val="28"/>
                <w:rtl/>
              </w:rPr>
            </w:pPr>
          </w:p>
          <w:p w14:paraId="0852F31D" w14:textId="77777777" w:rsidR="0032456E" w:rsidRPr="00BD1C73" w:rsidRDefault="0032456E" w:rsidP="00BD1C73">
            <w:pPr>
              <w:suppressLineNumbers/>
              <w:rPr>
                <w:rFonts w:ascii="David" w:hAnsi="David"/>
                <w:sz w:val="28"/>
                <w:szCs w:val="28"/>
                <w:rtl/>
              </w:rPr>
            </w:pPr>
          </w:p>
          <w:p w14:paraId="714542F9" w14:textId="77777777" w:rsidR="00C318A2" w:rsidRPr="00BD1C73" w:rsidRDefault="0042294E" w:rsidP="00BD1C73">
            <w:pPr>
              <w:suppressLineNumbers/>
              <w:rPr>
                <w:rFonts w:ascii="David" w:hAnsi="David"/>
                <w:sz w:val="28"/>
                <w:szCs w:val="28"/>
                <w:rtl/>
              </w:rPr>
            </w:pPr>
            <w:r w:rsidRPr="00BD1C73">
              <w:rPr>
                <w:rFonts w:ascii="David" w:hAnsi="David" w:hint="cs"/>
                <w:sz w:val="28"/>
                <w:szCs w:val="28"/>
                <w:rtl/>
              </w:rPr>
              <w:lastRenderedPageBreak/>
              <w:t>עו"</w:t>
            </w:r>
            <w:r w:rsidR="00000000" w:rsidRPr="00BD1C73">
              <w:rPr>
                <w:rFonts w:ascii="David" w:hAnsi="David" w:hint="cs"/>
                <w:sz w:val="28"/>
                <w:szCs w:val="28"/>
                <w:rtl/>
              </w:rPr>
              <w:t>ד</w:t>
            </w:r>
            <w:r w:rsidR="00000000" w:rsidRPr="00BD1C73">
              <w:rPr>
                <w:rFonts w:ascii="David" w:hAnsi="David"/>
                <w:sz w:val="28"/>
                <w:szCs w:val="28"/>
              </w:rPr>
              <w:t xml:space="preserve"> </w:t>
            </w:r>
            <w:r w:rsidR="00000000" w:rsidRPr="00BD1C73">
              <w:rPr>
                <w:rFonts w:ascii="David" w:hAnsi="David" w:hint="cs"/>
                <w:sz w:val="28"/>
                <w:szCs w:val="28"/>
                <w:rtl/>
              </w:rPr>
              <w:t>לסלי</w:t>
            </w:r>
            <w:r w:rsidR="00000000" w:rsidRPr="00BD1C73">
              <w:rPr>
                <w:rFonts w:ascii="David" w:hAnsi="David"/>
                <w:sz w:val="28"/>
                <w:szCs w:val="28"/>
              </w:rPr>
              <w:t xml:space="preserve"> </w:t>
            </w:r>
            <w:r w:rsidR="00000000" w:rsidRPr="00BD1C73">
              <w:rPr>
                <w:rFonts w:ascii="David" w:hAnsi="David" w:hint="cs"/>
                <w:sz w:val="28"/>
                <w:szCs w:val="28"/>
                <w:rtl/>
              </w:rPr>
              <w:t>לוי</w:t>
            </w:r>
          </w:p>
        </w:tc>
      </w:tr>
      <w:tr w:rsidR="00750D41" w14:paraId="1DBF402F" w14:textId="77777777" w:rsidTr="00BD1C73">
        <w:trPr>
          <w:jc w:val="center"/>
        </w:trPr>
        <w:tc>
          <w:tcPr>
            <w:tcW w:w="3096" w:type="dxa"/>
            <w:shd w:val="clear" w:color="auto" w:fill="auto"/>
          </w:tcPr>
          <w:p w14:paraId="42EC6CA1" w14:textId="77777777" w:rsidR="00C318A2" w:rsidRPr="00BD1C73" w:rsidRDefault="00C318A2" w:rsidP="00BD1C73">
            <w:pPr>
              <w:suppressLineNumbers/>
              <w:rPr>
                <w:rFonts w:ascii="David" w:hAnsi="David"/>
                <w:sz w:val="28"/>
                <w:szCs w:val="28"/>
                <w:rtl/>
              </w:rPr>
            </w:pPr>
          </w:p>
        </w:tc>
        <w:tc>
          <w:tcPr>
            <w:tcW w:w="5252" w:type="dxa"/>
            <w:shd w:val="clear" w:color="auto" w:fill="auto"/>
          </w:tcPr>
          <w:p w14:paraId="03102745" w14:textId="77777777" w:rsidR="00C318A2" w:rsidRPr="00BD1C73" w:rsidRDefault="00C318A2" w:rsidP="00BD1C73">
            <w:pPr>
              <w:suppressLineNumbers/>
              <w:rPr>
                <w:rFonts w:ascii="David" w:hAnsi="David"/>
                <w:sz w:val="28"/>
                <w:szCs w:val="28"/>
                <w:rtl/>
              </w:rPr>
            </w:pPr>
          </w:p>
        </w:tc>
      </w:tr>
      <w:tr w:rsidR="00750D41" w14:paraId="4A15D468" w14:textId="77777777" w:rsidTr="00BD1C73">
        <w:trPr>
          <w:jc w:val="center"/>
        </w:trPr>
        <w:tc>
          <w:tcPr>
            <w:tcW w:w="3096" w:type="dxa"/>
            <w:shd w:val="clear" w:color="auto" w:fill="auto"/>
          </w:tcPr>
          <w:p w14:paraId="4D0E14CE" w14:textId="77777777" w:rsidR="00C318A2" w:rsidRPr="00BD1C73" w:rsidRDefault="00A80E98" w:rsidP="00BD1C73">
            <w:pPr>
              <w:suppressLineNumbers/>
              <w:rPr>
                <w:rFonts w:ascii="David" w:hAnsi="David"/>
                <w:sz w:val="28"/>
                <w:szCs w:val="28"/>
                <w:rtl/>
              </w:rPr>
            </w:pPr>
            <w:r w:rsidRPr="00BD1C73">
              <w:rPr>
                <w:rFonts w:ascii="David" w:hAnsi="David" w:hint="cs"/>
                <w:sz w:val="28"/>
                <w:szCs w:val="28"/>
                <w:rtl/>
              </w:rPr>
              <w:t>בשם משיב 3:</w:t>
            </w:r>
          </w:p>
        </w:tc>
        <w:tc>
          <w:tcPr>
            <w:tcW w:w="5252" w:type="dxa"/>
            <w:shd w:val="clear" w:color="auto" w:fill="auto"/>
          </w:tcPr>
          <w:p w14:paraId="3041097D" w14:textId="77777777" w:rsidR="00C318A2" w:rsidRPr="00BD1C73" w:rsidRDefault="00EF1562" w:rsidP="00BD1C73">
            <w:pPr>
              <w:suppressLineNumbers/>
              <w:rPr>
                <w:rFonts w:ascii="David" w:hAnsi="David"/>
                <w:sz w:val="28"/>
                <w:szCs w:val="28"/>
                <w:rtl/>
              </w:rPr>
            </w:pPr>
            <w:r w:rsidRPr="00BD1C73">
              <w:rPr>
                <w:rFonts w:ascii="David" w:hAnsi="David" w:hint="cs"/>
                <w:sz w:val="28"/>
                <w:szCs w:val="28"/>
                <w:rtl/>
              </w:rPr>
              <w:t>עו</w:t>
            </w:r>
            <w:r w:rsidRPr="00BD1C73">
              <w:rPr>
                <w:rFonts w:ascii="David" w:hAnsi="David"/>
                <w:sz w:val="28"/>
                <w:szCs w:val="28"/>
              </w:rPr>
              <w:t>"</w:t>
            </w:r>
            <w:r w:rsidRPr="00BD1C73">
              <w:rPr>
                <w:rFonts w:ascii="David" w:hAnsi="David" w:hint="cs"/>
                <w:sz w:val="28"/>
                <w:szCs w:val="28"/>
                <w:rtl/>
              </w:rPr>
              <w:t>ד</w:t>
            </w:r>
            <w:r w:rsidRPr="00BD1C73">
              <w:rPr>
                <w:rFonts w:ascii="David" w:hAnsi="David"/>
                <w:sz w:val="28"/>
                <w:szCs w:val="28"/>
              </w:rPr>
              <w:t xml:space="preserve"> </w:t>
            </w:r>
            <w:r w:rsidRPr="00BD1C73">
              <w:rPr>
                <w:rFonts w:ascii="David" w:hAnsi="David" w:hint="cs"/>
                <w:sz w:val="28"/>
                <w:szCs w:val="28"/>
                <w:rtl/>
              </w:rPr>
              <w:t>חיים</w:t>
            </w:r>
            <w:r w:rsidRPr="00BD1C73">
              <w:rPr>
                <w:rFonts w:ascii="David" w:hAnsi="David"/>
                <w:sz w:val="28"/>
                <w:szCs w:val="28"/>
              </w:rPr>
              <w:t xml:space="preserve"> </w:t>
            </w:r>
            <w:r w:rsidRPr="00BD1C73">
              <w:rPr>
                <w:rFonts w:ascii="David" w:hAnsi="David" w:hint="cs"/>
                <w:sz w:val="28"/>
                <w:szCs w:val="28"/>
                <w:rtl/>
              </w:rPr>
              <w:t>זקס</w:t>
            </w:r>
          </w:p>
        </w:tc>
      </w:tr>
    </w:tbl>
    <w:p w14:paraId="42826502" w14:textId="77777777" w:rsidR="00D10EBD" w:rsidRDefault="00D10EBD" w:rsidP="00D44968">
      <w:pPr>
        <w:suppressLineNumbers/>
        <w:rPr>
          <w:rFonts w:ascii="David" w:hAnsi="David"/>
          <w:rtl/>
        </w:rPr>
      </w:pPr>
    </w:p>
    <w:p w14:paraId="1F69E5A8" w14:textId="77777777" w:rsidR="009659A5" w:rsidRPr="009659A5" w:rsidRDefault="009659A5" w:rsidP="00D10EBD">
      <w:pPr>
        <w:suppressLineNumbers/>
        <w:rPr>
          <w:rFonts w:ascii="David" w:hAnsi="David"/>
          <w:rtl/>
        </w:rPr>
      </w:pPr>
    </w:p>
    <w:p w14:paraId="3C9C0F09" w14:textId="77777777" w:rsidR="009659A5" w:rsidRPr="009659A5" w:rsidRDefault="00000000" w:rsidP="009659A5">
      <w:pPr>
        <w:suppressLineNumbers/>
        <w:spacing w:after="120" w:line="240" w:lineRule="exact"/>
        <w:ind w:left="283" w:hanging="283"/>
        <w:jc w:val="both"/>
        <w:rPr>
          <w:rFonts w:ascii="FrankRuehl" w:hAnsi="FrankRuehl" w:cs="FrankRuehl"/>
          <w:rtl/>
        </w:rPr>
      </w:pPr>
      <w:bookmarkStart w:id="6" w:name="Links_Start"/>
      <w:bookmarkEnd w:id="6"/>
      <w:r w:rsidRPr="009659A5">
        <w:rPr>
          <w:rFonts w:ascii="FrankRuehl" w:hAnsi="FrankRuehl" w:cs="FrankRuehl"/>
          <w:rtl/>
        </w:rPr>
        <w:t>ספרות:</w:t>
      </w:r>
    </w:p>
    <w:p w14:paraId="49F99E2A" w14:textId="77777777" w:rsidR="009659A5" w:rsidRPr="009659A5" w:rsidRDefault="00000000" w:rsidP="009659A5">
      <w:pPr>
        <w:suppressLineNumbers/>
        <w:spacing w:after="120" w:line="240" w:lineRule="exact"/>
        <w:ind w:left="283" w:hanging="283"/>
        <w:jc w:val="both"/>
        <w:rPr>
          <w:rFonts w:ascii="FrankRuehl" w:hAnsi="FrankRuehl" w:cs="FrankRuehl"/>
          <w:color w:val="000000"/>
        </w:rPr>
      </w:pPr>
      <w:r w:rsidRPr="009659A5">
        <w:rPr>
          <w:rFonts w:ascii="FrankRuehl" w:hAnsi="FrankRuehl" w:cs="FrankRuehl"/>
          <w:color w:val="000000"/>
          <w:rtl/>
        </w:rPr>
        <w:t xml:space="preserve">שלמה לוין, אשר גרוניס   </w:t>
      </w:r>
      <w:r w:rsidRPr="009659A5">
        <w:rPr>
          <w:rFonts w:ascii="FrankRuehl" w:hAnsi="FrankRuehl" w:cs="FrankRuehl"/>
          <w:b/>
          <w:bCs/>
          <w:color w:val="000000"/>
          <w:rtl/>
        </w:rPr>
        <w:t xml:space="preserve">פשיטת רגל </w:t>
      </w:r>
    </w:p>
    <w:p w14:paraId="08359F8E" w14:textId="77777777" w:rsidR="009659A5" w:rsidRPr="009659A5" w:rsidRDefault="009659A5" w:rsidP="00D10EBD">
      <w:pPr>
        <w:suppressLineNumbers/>
        <w:rPr>
          <w:rFonts w:ascii="David" w:hAnsi="David"/>
          <w:color w:val="000000"/>
          <w:rtl/>
        </w:rPr>
      </w:pPr>
      <w:bookmarkStart w:id="7" w:name="Links_End"/>
      <w:bookmarkEnd w:id="7"/>
    </w:p>
    <w:p w14:paraId="02E86944" w14:textId="77777777" w:rsidR="009659A5" w:rsidRPr="009659A5" w:rsidRDefault="009659A5" w:rsidP="009659A5">
      <w:pPr>
        <w:suppressLineNumbers/>
        <w:rPr>
          <w:rFonts w:ascii="David" w:hAnsi="David"/>
          <w:rtl/>
        </w:rPr>
      </w:pPr>
      <w:bookmarkStart w:id="8" w:name="LawTable"/>
      <w:bookmarkStart w:id="9" w:name="ABSTRACT_END"/>
      <w:bookmarkEnd w:id="8"/>
      <w:bookmarkEnd w:id="9"/>
    </w:p>
    <w:tbl>
      <w:tblPr>
        <w:bidiVisual/>
        <w:tblW w:w="8498" w:type="dxa"/>
        <w:jc w:val="center"/>
        <w:tblLook w:val="01E0" w:firstRow="1" w:lastRow="1" w:firstColumn="1" w:lastColumn="1" w:noHBand="0" w:noVBand="0"/>
      </w:tblPr>
      <w:tblGrid>
        <w:gridCol w:w="8498"/>
      </w:tblGrid>
      <w:tr w:rsidR="00750D41" w14:paraId="085A927F" w14:textId="77777777" w:rsidTr="00BD1C73">
        <w:trPr>
          <w:jc w:val="center"/>
        </w:trPr>
        <w:tc>
          <w:tcPr>
            <w:tcW w:w="8498" w:type="dxa"/>
            <w:shd w:val="clear" w:color="auto" w:fill="auto"/>
          </w:tcPr>
          <w:p w14:paraId="291B06C8" w14:textId="77777777" w:rsidR="00BD1C73" w:rsidRPr="00BD1C73" w:rsidRDefault="00000000" w:rsidP="00BD1C73">
            <w:pPr>
              <w:bidi w:val="0"/>
              <w:jc w:val="center"/>
              <w:rPr>
                <w:rFonts w:ascii="David" w:hAnsi="David"/>
                <w:b/>
                <w:bCs/>
                <w:spacing w:val="30"/>
                <w:sz w:val="28"/>
                <w:szCs w:val="28"/>
                <w:u w:val="single"/>
                <w:rtl/>
              </w:rPr>
            </w:pPr>
            <w:bookmarkStart w:id="10" w:name="PsakDin"/>
            <w:r w:rsidRPr="00BD1C73">
              <w:rPr>
                <w:rFonts w:ascii="David" w:hAnsi="David"/>
                <w:b/>
                <w:bCs/>
                <w:spacing w:val="30"/>
                <w:sz w:val="28"/>
                <w:szCs w:val="28"/>
                <w:u w:val="single"/>
                <w:rtl/>
              </w:rPr>
              <w:t>פסק-דין</w:t>
            </w:r>
          </w:p>
          <w:bookmarkEnd w:id="10"/>
          <w:p w14:paraId="0CDFFF87" w14:textId="77777777" w:rsidR="00D44968" w:rsidRPr="00BD1C73" w:rsidRDefault="00D44968" w:rsidP="00BD1C73">
            <w:pPr>
              <w:bidi w:val="0"/>
              <w:jc w:val="center"/>
              <w:rPr>
                <w:rFonts w:ascii="David" w:hAnsi="David"/>
                <w:b/>
                <w:bCs/>
                <w:u w:val="single"/>
              </w:rPr>
            </w:pPr>
          </w:p>
        </w:tc>
      </w:tr>
    </w:tbl>
    <w:p w14:paraId="15B2CB4F" w14:textId="77777777" w:rsidR="00694556" w:rsidRPr="00FB7A67" w:rsidRDefault="00694556">
      <w:pPr>
        <w:spacing w:line="360" w:lineRule="auto"/>
        <w:jc w:val="both"/>
        <w:rPr>
          <w:rFonts w:ascii="FrankRuehl" w:hAnsi="FrankRuehl" w:cs="FrankRuehl"/>
          <w:spacing w:val="10"/>
          <w:sz w:val="28"/>
          <w:szCs w:val="28"/>
          <w:rtl/>
        </w:rPr>
      </w:pPr>
      <w:bookmarkStart w:id="11" w:name="NGCSBookmark"/>
      <w:bookmarkEnd w:id="0"/>
      <w:bookmarkEnd w:id="11"/>
    </w:p>
    <w:p w14:paraId="072E5FE2" w14:textId="77777777" w:rsidR="00E311E6" w:rsidRDefault="00000000" w:rsidP="00E311E6">
      <w:pPr>
        <w:pStyle w:val="Ruller41"/>
        <w:rPr>
          <w:rFonts w:ascii="Century" w:hAnsi="Century" w:cs="Miriam"/>
          <w:b/>
          <w:spacing w:val="0"/>
          <w:szCs w:val="24"/>
          <w:u w:val="single"/>
        </w:rPr>
      </w:pPr>
      <w:r w:rsidRPr="00E311E6">
        <w:rPr>
          <w:rFonts w:ascii="Century" w:hAnsi="Century" w:cs="Miriam"/>
          <w:b/>
          <w:spacing w:val="0"/>
          <w:szCs w:val="24"/>
          <w:u w:val="single"/>
          <w:rtl/>
        </w:rPr>
        <w:t>ה</w:t>
      </w:r>
      <w:r>
        <w:rPr>
          <w:rFonts w:ascii="Century" w:hAnsi="Century" w:cs="Miriam"/>
          <w:b/>
          <w:spacing w:val="0"/>
          <w:szCs w:val="24"/>
          <w:u w:val="single"/>
          <w:rtl/>
        </w:rPr>
        <w:t>שופט</w:t>
      </w:r>
      <w:r w:rsidRPr="00E311E6">
        <w:rPr>
          <w:rFonts w:ascii="Century" w:hAnsi="Century" w:cs="Miriam"/>
          <w:b/>
          <w:spacing w:val="0"/>
          <w:szCs w:val="24"/>
          <w:u w:val="single"/>
          <w:rtl/>
        </w:rPr>
        <w:t xml:space="preserve"> </w:t>
      </w:r>
      <w:r>
        <w:rPr>
          <w:rFonts w:ascii="Century" w:hAnsi="Century" w:cs="Miriam"/>
          <w:b/>
          <w:spacing w:val="0"/>
          <w:szCs w:val="24"/>
          <w:u w:val="single"/>
          <w:rtl/>
        </w:rPr>
        <w:t>דוד מינץ</w:t>
      </w:r>
      <w:r w:rsidRPr="00E311E6">
        <w:rPr>
          <w:rFonts w:ascii="Century" w:hAnsi="Century" w:cs="Miriam"/>
          <w:b/>
          <w:spacing w:val="0"/>
          <w:szCs w:val="24"/>
          <w:u w:val="single"/>
          <w:rtl/>
        </w:rPr>
        <w:t>:</w:t>
      </w:r>
    </w:p>
    <w:p w14:paraId="19210DD6" w14:textId="77777777" w:rsidR="00694556" w:rsidRPr="00E311E6" w:rsidRDefault="00694556" w:rsidP="00E311E6">
      <w:pPr>
        <w:spacing w:line="360" w:lineRule="auto"/>
        <w:jc w:val="both"/>
        <w:rPr>
          <w:rFonts w:ascii="FrankRuehl" w:hAnsi="FrankRuehl" w:cs="FrankRuehl"/>
          <w:spacing w:val="10"/>
          <w:sz w:val="28"/>
          <w:szCs w:val="28"/>
          <w:rtl/>
        </w:rPr>
      </w:pPr>
    </w:p>
    <w:p w14:paraId="241C8F14" w14:textId="77777777" w:rsidR="00E23C2C" w:rsidRDefault="00000000" w:rsidP="00E23C2C">
      <w:pPr>
        <w:pStyle w:val="Ruller4"/>
        <w:numPr>
          <w:ilvl w:val="0"/>
          <w:numId w:val="0"/>
        </w:numPr>
      </w:pPr>
      <w:r>
        <w:rPr>
          <w:rtl/>
        </w:rPr>
        <w:t xml:space="preserve">ערעורים על החלטת בית המשפט המחוזי בחיפה (השופטת </w:t>
      </w:r>
      <w:r>
        <w:rPr>
          <w:rFonts w:ascii="Century" w:hAnsi="Century" w:cs="Miriam"/>
          <w:b/>
          <w:spacing w:val="0"/>
          <w:sz w:val="22"/>
          <w:szCs w:val="24"/>
          <w:rtl/>
        </w:rPr>
        <w:t>ע' חן-ברק</w:t>
      </w:r>
      <w:r>
        <w:rPr>
          <w:rtl/>
        </w:rPr>
        <w:t>) מיום 10.9.2023 ב</w:t>
      </w:r>
      <w:hyperlink r:id="rId8" w:history="1">
        <w:r w:rsidR="00BD1C73" w:rsidRPr="00BD1C73">
          <w:rPr>
            <w:rFonts w:hint="eastAsia"/>
            <w:color w:val="0000FF"/>
            <w:u w:val="single"/>
            <w:rtl/>
          </w:rPr>
          <w:t>פש</w:t>
        </w:r>
        <w:r w:rsidR="00BD1C73" w:rsidRPr="00BD1C73">
          <w:rPr>
            <w:color w:val="0000FF"/>
            <w:u w:val="single"/>
            <w:rtl/>
          </w:rPr>
          <w:t>"</w:t>
        </w:r>
        <w:r w:rsidR="00BD1C73" w:rsidRPr="00BD1C73">
          <w:rPr>
            <w:rFonts w:hint="eastAsia"/>
            <w:color w:val="0000FF"/>
            <w:u w:val="single"/>
            <w:rtl/>
          </w:rPr>
          <w:t>ר</w:t>
        </w:r>
        <w:r w:rsidR="00BD1C73" w:rsidRPr="00BD1C73">
          <w:rPr>
            <w:color w:val="0000FF"/>
            <w:u w:val="single"/>
            <w:rtl/>
          </w:rPr>
          <w:t xml:space="preserve"> 44197-08-17</w:t>
        </w:r>
      </w:hyperlink>
      <w:r>
        <w:rPr>
          <w:rtl/>
        </w:rPr>
        <w:t xml:space="preserve">, </w:t>
      </w:r>
      <w:r w:rsidR="009659A5">
        <w:rPr>
          <w:rFonts w:hint="cs"/>
          <w:rtl/>
        </w:rPr>
        <w:t xml:space="preserve">[נבו] </w:t>
      </w:r>
      <w:r>
        <w:rPr>
          <w:rtl/>
        </w:rPr>
        <w:t>במסגרתה התקבלה באופן חלקי בקשת המערער ב</w:t>
      </w:r>
      <w:r w:rsidR="00BD1C73" w:rsidRPr="009659A5">
        <w:rPr>
          <w:rFonts w:hint="eastAsia"/>
          <w:rtl/>
        </w:rPr>
        <w:t>ע</w:t>
      </w:r>
      <w:r w:rsidR="00BD1C73" w:rsidRPr="009659A5">
        <w:rPr>
          <w:rtl/>
        </w:rPr>
        <w:t>"</w:t>
      </w:r>
      <w:r w:rsidR="00BD1C73" w:rsidRPr="009659A5">
        <w:rPr>
          <w:rFonts w:hint="eastAsia"/>
          <w:rtl/>
        </w:rPr>
        <w:t>א</w:t>
      </w:r>
      <w:r w:rsidR="00BD1C73" w:rsidRPr="009659A5">
        <w:rPr>
          <w:rtl/>
        </w:rPr>
        <w:t xml:space="preserve"> 172/24</w:t>
      </w:r>
      <w:r>
        <w:rPr>
          <w:rtl/>
        </w:rPr>
        <w:t xml:space="preserve"> (להלן: </w:t>
      </w:r>
      <w:r>
        <w:rPr>
          <w:rFonts w:ascii="Century" w:hAnsi="Century" w:cs="Miriam"/>
          <w:b/>
          <w:spacing w:val="0"/>
          <w:sz w:val="22"/>
          <w:szCs w:val="24"/>
          <w:rtl/>
        </w:rPr>
        <w:t>הנאמן</w:t>
      </w:r>
      <w:r>
        <w:rPr>
          <w:rtl/>
        </w:rPr>
        <w:t xml:space="preserve">), לביטול פעולות שנעשו על ידי חברת מגדלי אדומים בע"מ (להלן: </w:t>
      </w:r>
      <w:r>
        <w:rPr>
          <w:rFonts w:ascii="Century" w:hAnsi="Century" w:cs="Miriam"/>
          <w:b/>
          <w:spacing w:val="0"/>
          <w:sz w:val="22"/>
          <w:szCs w:val="24"/>
          <w:rtl/>
        </w:rPr>
        <w:t>המערערת</w:t>
      </w:r>
      <w:r>
        <w:rPr>
          <w:rtl/>
        </w:rPr>
        <w:t xml:space="preserve">) במניותיו של החייב בחברת האופקים מעלה אדומים בע"מ (להלן: </w:t>
      </w:r>
      <w:r>
        <w:rPr>
          <w:rFonts w:ascii="Century" w:hAnsi="Century" w:cs="Miriam"/>
          <w:b/>
          <w:spacing w:val="0"/>
          <w:sz w:val="22"/>
          <w:szCs w:val="24"/>
          <w:rtl/>
        </w:rPr>
        <w:t>חברת האופקים</w:t>
      </w:r>
      <w:r>
        <w:rPr>
          <w:rtl/>
        </w:rPr>
        <w:t xml:space="preserve"> או </w:t>
      </w:r>
      <w:r>
        <w:rPr>
          <w:rFonts w:ascii="Century" w:hAnsi="Century" w:cs="Miriam"/>
          <w:b/>
          <w:spacing w:val="0"/>
          <w:sz w:val="22"/>
          <w:szCs w:val="24"/>
          <w:rtl/>
        </w:rPr>
        <w:t>החברה</w:t>
      </w:r>
      <w:r>
        <w:rPr>
          <w:rtl/>
        </w:rPr>
        <w:t xml:space="preserve">). </w:t>
      </w:r>
    </w:p>
    <w:p w14:paraId="76A9BEEA" w14:textId="77777777" w:rsidR="00E23C2C" w:rsidRDefault="00E23C2C" w:rsidP="00E23C2C">
      <w:pPr>
        <w:pStyle w:val="Ruller41"/>
        <w:rPr>
          <w:rtl/>
        </w:rPr>
      </w:pPr>
    </w:p>
    <w:p w14:paraId="690E103D" w14:textId="77777777" w:rsidR="00E23C2C" w:rsidRDefault="00000000" w:rsidP="00E23C2C">
      <w:pPr>
        <w:pStyle w:val="Ruller41"/>
        <w:rPr>
          <w:rFonts w:ascii="Century" w:hAnsi="Century" w:cs="Miriam"/>
          <w:b/>
          <w:spacing w:val="0"/>
          <w:szCs w:val="24"/>
          <w:rtl/>
        </w:rPr>
      </w:pPr>
      <w:r>
        <w:rPr>
          <w:rFonts w:ascii="Century" w:hAnsi="Century" w:cs="Miriam"/>
          <w:b/>
          <w:spacing w:val="0"/>
          <w:szCs w:val="24"/>
          <w:rtl/>
        </w:rPr>
        <w:t>הרקע לערעורים</w:t>
      </w:r>
    </w:p>
    <w:p w14:paraId="5B91F077" w14:textId="77777777" w:rsidR="00E23C2C" w:rsidRDefault="00000000" w:rsidP="00E23C2C">
      <w:pPr>
        <w:pStyle w:val="Ruller4"/>
        <w:tabs>
          <w:tab w:val="clear" w:pos="360"/>
          <w:tab w:val="num" w:pos="907"/>
        </w:tabs>
        <w:rPr>
          <w:rtl/>
        </w:rPr>
      </w:pPr>
      <w:r>
        <w:rPr>
          <w:rtl/>
        </w:rPr>
        <w:t xml:space="preserve">הרקע לערעורים הוא סבוך ומסועף ויתואר להלן בתמצית רק בנוגע לחלקים הנוגעים למוקד העניין ושעדיין שנויים במחלוקת בין הצדדים. </w:t>
      </w:r>
    </w:p>
    <w:p w14:paraId="08C2EC30" w14:textId="77777777" w:rsidR="00E23C2C" w:rsidRDefault="00E23C2C" w:rsidP="00E23C2C">
      <w:pPr>
        <w:pStyle w:val="Ruller4"/>
        <w:numPr>
          <w:ilvl w:val="0"/>
          <w:numId w:val="0"/>
        </w:numPr>
      </w:pPr>
    </w:p>
    <w:p w14:paraId="38EB9094" w14:textId="77777777" w:rsidR="00E23C2C" w:rsidRDefault="00000000" w:rsidP="00E23C2C">
      <w:pPr>
        <w:pStyle w:val="Ruller4"/>
        <w:numPr>
          <w:ilvl w:val="0"/>
          <w:numId w:val="0"/>
        </w:numPr>
        <w:rPr>
          <w:rtl/>
        </w:rPr>
      </w:pPr>
      <w:r>
        <w:rPr>
          <w:rtl/>
        </w:rPr>
        <w:tab/>
        <w:t xml:space="preserve">המערערת הינה חברת נדל"ן, אשר בשנים 2016 ו-2017 התקשרה בהסכמים עם חברת האופקים המחזיקה בזכות החוזית לביצוע פרויקט פינוי-בינוי במעלה אדומים (להלן: </w:t>
      </w:r>
      <w:r>
        <w:rPr>
          <w:rFonts w:ascii="Century" w:hAnsi="Century" w:cs="Miriam"/>
          <w:b/>
          <w:spacing w:val="0"/>
          <w:sz w:val="22"/>
          <w:szCs w:val="24"/>
          <w:rtl/>
        </w:rPr>
        <w:t>הפרויקט</w:t>
      </w:r>
      <w:r>
        <w:rPr>
          <w:rtl/>
        </w:rPr>
        <w:t>). המערער ב</w:t>
      </w:r>
      <w:r w:rsidR="00BD1C73" w:rsidRPr="009659A5">
        <w:rPr>
          <w:rFonts w:hint="eastAsia"/>
          <w:rtl/>
        </w:rPr>
        <w:t>ע</w:t>
      </w:r>
      <w:r w:rsidR="00BD1C73" w:rsidRPr="009659A5">
        <w:rPr>
          <w:rtl/>
        </w:rPr>
        <w:t>"</w:t>
      </w:r>
      <w:r w:rsidR="00BD1C73" w:rsidRPr="009659A5">
        <w:rPr>
          <w:rFonts w:hint="eastAsia"/>
          <w:rtl/>
        </w:rPr>
        <w:t>א</w:t>
      </w:r>
      <w:r w:rsidR="00BD1C73" w:rsidRPr="009659A5">
        <w:rPr>
          <w:rtl/>
        </w:rPr>
        <w:t xml:space="preserve"> 296/24</w:t>
      </w:r>
      <w:r>
        <w:rPr>
          <w:rtl/>
        </w:rPr>
        <w:t xml:space="preserve"> (להלן: </w:t>
      </w:r>
      <w:r>
        <w:rPr>
          <w:rFonts w:ascii="Century" w:hAnsi="Century" w:cs="Miriam"/>
          <w:b/>
          <w:spacing w:val="0"/>
          <w:sz w:val="22"/>
          <w:szCs w:val="24"/>
          <w:rtl/>
        </w:rPr>
        <w:t>החייב</w:t>
      </w:r>
      <w:r>
        <w:rPr>
          <w:rtl/>
        </w:rPr>
        <w:t xml:space="preserve">) היה בעל המניות היחיד בחברה. במסגרת ההסכמים אשר נחתמו ביום 27.7.2016 וביום 27.4.2017, הוסדרה בין הצדדים השותפות בפרויקט, לרבות היקף הכספים שיושקעו בו על ידי המערערת וחלוקת הרווחים במיזם (להלן: </w:t>
      </w:r>
      <w:r>
        <w:rPr>
          <w:rFonts w:ascii="Century" w:hAnsi="Century" w:cs="Miriam"/>
          <w:b/>
          <w:spacing w:val="0"/>
          <w:sz w:val="22"/>
          <w:szCs w:val="24"/>
          <w:rtl/>
        </w:rPr>
        <w:t>ההסכמים</w:t>
      </w:r>
      <w:r>
        <w:rPr>
          <w:rtl/>
        </w:rPr>
        <w:t xml:space="preserve">). בתוך כך, נקבע בהסכמים כי יוקצו למערערת בעבור השקעתה בפרויקט 65% ממניות החברה. כמו כן, בסעיף 2.6 להסכם מיום 27.4.2017 נקבע כי אם התב"ע המתוכננת לפרויקט לא תאושר עד ליום ה-28.7.2018, אזי יוקצו למערערת 5% נוספים מסך כל מניות החברה, ובסך הכול יוקצו למערערת 70% מהמניות (להלן: </w:t>
      </w:r>
      <w:r>
        <w:rPr>
          <w:rFonts w:ascii="Century" w:hAnsi="Century" w:cs="Miriam"/>
          <w:b/>
          <w:spacing w:val="0"/>
          <w:sz w:val="22"/>
          <w:szCs w:val="24"/>
          <w:rtl/>
        </w:rPr>
        <w:t>סעיף 2.6</w:t>
      </w:r>
      <w:r>
        <w:rPr>
          <w:rtl/>
        </w:rPr>
        <w:t>). אין חולק כי לאחר שנחתמו ההסכמים הוקצו למערערת 65% ממניות החברה.</w:t>
      </w:r>
    </w:p>
    <w:p w14:paraId="40165EDF" w14:textId="77777777" w:rsidR="00E23C2C" w:rsidRDefault="00E23C2C" w:rsidP="00E23C2C">
      <w:pPr>
        <w:pStyle w:val="Ruller4"/>
        <w:numPr>
          <w:ilvl w:val="0"/>
          <w:numId w:val="0"/>
        </w:numPr>
      </w:pPr>
    </w:p>
    <w:p w14:paraId="35427A70" w14:textId="77777777" w:rsidR="00E23C2C" w:rsidRDefault="00000000" w:rsidP="00E23C2C">
      <w:pPr>
        <w:pStyle w:val="Ruller4"/>
        <w:tabs>
          <w:tab w:val="clear" w:pos="360"/>
          <w:tab w:val="num" w:pos="907"/>
        </w:tabs>
      </w:pPr>
      <w:r>
        <w:rPr>
          <w:rtl/>
        </w:rPr>
        <w:lastRenderedPageBreak/>
        <w:t xml:space="preserve">ביום 2.8.2017 אושרה בהחלטת בית המשפט המחוזי התראת פשיטת רגל שהוגשה נגד החייב על ידי רשות המיסים ביום 10.2.2016, בגין חוב מס בהיקף של כ-8.9 מיליון ש"ח. ביום 21.8.2017 הוגשה בקשה למתן צו כינוס ולהכרזת החייב פושט רגל, גם כן על ידי רשות המיסים, וביום 21.1.2018 ניתן צו כינוס בעניינו. </w:t>
      </w:r>
    </w:p>
    <w:p w14:paraId="525FE3F7" w14:textId="77777777" w:rsidR="00E23C2C" w:rsidRDefault="00E23C2C" w:rsidP="00E23C2C">
      <w:pPr>
        <w:pStyle w:val="Ruller4"/>
        <w:numPr>
          <w:ilvl w:val="0"/>
          <w:numId w:val="0"/>
        </w:numPr>
      </w:pPr>
    </w:p>
    <w:p w14:paraId="43B96D4C" w14:textId="77777777" w:rsidR="00E23C2C" w:rsidRDefault="00000000" w:rsidP="00E23C2C">
      <w:pPr>
        <w:pStyle w:val="Ruller4"/>
        <w:tabs>
          <w:tab w:val="clear" w:pos="360"/>
          <w:tab w:val="num" w:pos="907"/>
        </w:tabs>
      </w:pPr>
      <w:r>
        <w:rPr>
          <w:rtl/>
        </w:rPr>
        <w:t xml:space="preserve">אין חולק כי מעבר להעברת 65% המניות, החייב העביר למערערת ביום 28.12.2017 עוד 30% ממניותיו בחברה כתוצאה מהתפתחויות נוספות שאין זה המקום להאריך על אודותיהן; וביום 22.11.2018 לאחר מתן צו הכינוס הועברו עוד 5% מהון המניות. לאחר העברות אלה הפכה המערערת למחזיקה ב-100% ממניות החברה. בהמשך, ביום 6.2.2019 הוכרז החייב פושט רגל, וביום 2.6.2019 הגיש הנאמן בקשה לבית המשפט המחוזי לביטול כלל ההסכמים שנכרתו בין הצדדים לצורך קידום הפרויקט בטענה שהם בטלים מאליהם מחמת שהם נכרתו לאחר התראת פשיטת הרגל (כאשר מסיבות שאין מקום להאריך לגביהן, הנאמן טען שמועד התראה פשיטת הרגל חל ביום 10.2.2016) ובשעה שהחייב נעדר כשרות משפטית לביצועם. לחלופין טען הנאמן כי גם אם יש לראות ביום 2.8.2017 כמועד מעשה פשיטת הרגל, יש להורות על ביטול שתי העברות המניות האחרונות מיום 28.12.2017 (35% מהמניות) ומיום 22.11.2018 (5% מהמניות) שבוצעו לאחריו; ועל ביטול העברת 65% מהמניות שכן מדובר בהענקה בטלה שנעשתה פחות משנתיים לפני מעשה פשיטת הרגל, זאת לפי </w:t>
      </w:r>
      <w:hyperlink r:id="rId9" w:history="1">
        <w:r w:rsidR="00D10EBD" w:rsidRPr="00D10EBD">
          <w:rPr>
            <w:rStyle w:val="Hyperlink"/>
            <w:rFonts w:hint="eastAsia"/>
            <w:rtl/>
          </w:rPr>
          <w:t>סעיף</w:t>
        </w:r>
        <w:r w:rsidR="00D10EBD" w:rsidRPr="00D10EBD">
          <w:rPr>
            <w:rStyle w:val="Hyperlink"/>
            <w:rtl/>
          </w:rPr>
          <w:t xml:space="preserve"> 96(</w:t>
        </w:r>
        <w:r w:rsidR="00D10EBD" w:rsidRPr="00D10EBD">
          <w:rPr>
            <w:rStyle w:val="Hyperlink"/>
            <w:rFonts w:hint="eastAsia"/>
            <w:rtl/>
          </w:rPr>
          <w:t>א</w:t>
        </w:r>
        <w:r w:rsidR="00D10EBD" w:rsidRPr="00D10EBD">
          <w:rPr>
            <w:rStyle w:val="Hyperlink"/>
            <w:rtl/>
          </w:rPr>
          <w:t>)</w:t>
        </w:r>
      </w:hyperlink>
      <w:r>
        <w:rPr>
          <w:rtl/>
        </w:rPr>
        <w:t xml:space="preserve"> ל</w:t>
      </w:r>
      <w:hyperlink r:id="rId10" w:history="1">
        <w:r w:rsidR="00BD1C73" w:rsidRPr="00BD1C73">
          <w:rPr>
            <w:rFonts w:hint="eastAsia"/>
            <w:color w:val="0000FF"/>
            <w:u w:val="single"/>
            <w:rtl/>
          </w:rPr>
          <w:t>פקודת</w:t>
        </w:r>
        <w:r w:rsidR="00BD1C73" w:rsidRPr="00BD1C73">
          <w:rPr>
            <w:color w:val="0000FF"/>
            <w:u w:val="single"/>
            <w:rtl/>
          </w:rPr>
          <w:t xml:space="preserve"> </w:t>
        </w:r>
        <w:r w:rsidR="00BD1C73" w:rsidRPr="00BD1C73">
          <w:rPr>
            <w:rFonts w:hint="eastAsia"/>
            <w:color w:val="0000FF"/>
            <w:u w:val="single"/>
            <w:rtl/>
          </w:rPr>
          <w:t>פשיטת</w:t>
        </w:r>
        <w:r w:rsidR="00BD1C73" w:rsidRPr="00BD1C73">
          <w:rPr>
            <w:color w:val="0000FF"/>
            <w:u w:val="single"/>
            <w:rtl/>
          </w:rPr>
          <w:t xml:space="preserve"> </w:t>
        </w:r>
        <w:r w:rsidR="00BD1C73" w:rsidRPr="00BD1C73">
          <w:rPr>
            <w:rFonts w:hint="eastAsia"/>
            <w:color w:val="0000FF"/>
            <w:u w:val="single"/>
            <w:rtl/>
          </w:rPr>
          <w:t>הרגל</w:t>
        </w:r>
      </w:hyperlink>
      <w:r>
        <w:rPr>
          <w:rtl/>
        </w:rPr>
        <w:t xml:space="preserve"> [נוסח חדש], התש"ם-1980 (להלן: </w:t>
      </w:r>
      <w:r>
        <w:rPr>
          <w:rFonts w:ascii="Century" w:hAnsi="Century" w:cs="Miriam"/>
          <w:b/>
          <w:spacing w:val="0"/>
          <w:sz w:val="22"/>
          <w:szCs w:val="24"/>
          <w:rtl/>
        </w:rPr>
        <w:t>הפקודה</w:t>
      </w:r>
      <w:r>
        <w:rPr>
          <w:rtl/>
        </w:rPr>
        <w:t>), החלה בענייננו.</w:t>
      </w:r>
    </w:p>
    <w:p w14:paraId="3BA2CC09" w14:textId="77777777" w:rsidR="00E23C2C" w:rsidRDefault="00E23C2C" w:rsidP="00E23C2C">
      <w:pPr>
        <w:pStyle w:val="Ruller4"/>
        <w:numPr>
          <w:ilvl w:val="0"/>
          <w:numId w:val="0"/>
        </w:numPr>
      </w:pPr>
    </w:p>
    <w:p w14:paraId="6F7A3D6C" w14:textId="77777777" w:rsidR="00E23C2C" w:rsidRDefault="00000000" w:rsidP="00E23C2C">
      <w:pPr>
        <w:pStyle w:val="Ruller4"/>
        <w:tabs>
          <w:tab w:val="clear" w:pos="360"/>
          <w:tab w:val="num" w:pos="907"/>
        </w:tabs>
      </w:pPr>
      <w:r>
        <w:rPr>
          <w:rtl/>
        </w:rPr>
        <w:t xml:space="preserve">ביום 10.9.2023 ניתנה החלטתו של בית המשפט המחוזי, אשר הורה כי העברת המניות בסך כולל של 35% מהון מניות החברה למערערת בימים 28.12.2017 ו-22.11.2018 בטלה, מכיוון שמדובר בעסקאות שנעשו ברכוש החייב בתקופה שלאחר מעשה פשיטת הרגל. לצד זאת, נדחתה טענת הנאמן כי יש להורות על ביטול ההסכמים והעברת 65% המניות גם קודם למעשה פשיטת הרגל, משנקבע כי אין מדובר בהענקה בטלה, ובכל מקרה מתקיימים החריגים הקבועים </w:t>
      </w:r>
      <w:hyperlink r:id="rId11" w:history="1">
        <w:r w:rsidR="00D10EBD" w:rsidRPr="00D10EBD">
          <w:rPr>
            <w:rStyle w:val="Hyperlink"/>
            <w:rFonts w:hint="eastAsia"/>
            <w:rtl/>
          </w:rPr>
          <w:t>בסעיף</w:t>
        </w:r>
        <w:r w:rsidR="00D10EBD" w:rsidRPr="00D10EBD">
          <w:rPr>
            <w:rStyle w:val="Hyperlink"/>
            <w:rtl/>
          </w:rPr>
          <w:t xml:space="preserve"> 96(</w:t>
        </w:r>
        <w:r w:rsidR="00D10EBD" w:rsidRPr="00D10EBD">
          <w:rPr>
            <w:rStyle w:val="Hyperlink"/>
            <w:rFonts w:hint="eastAsia"/>
            <w:rtl/>
          </w:rPr>
          <w:t>ג</w:t>
        </w:r>
        <w:r w:rsidR="00D10EBD" w:rsidRPr="00D10EBD">
          <w:rPr>
            <w:rStyle w:val="Hyperlink"/>
            <w:rtl/>
          </w:rPr>
          <w:t>)(2)</w:t>
        </w:r>
      </w:hyperlink>
      <w:r>
        <w:rPr>
          <w:rtl/>
        </w:rPr>
        <w:t xml:space="preserve"> לפקודה לעניין הענקה בתמורה ובתום לב. מכאן לערעורים שלפנינו.</w:t>
      </w:r>
    </w:p>
    <w:p w14:paraId="3F93555D" w14:textId="77777777" w:rsidR="00E23C2C" w:rsidRDefault="00E23C2C" w:rsidP="00E23C2C">
      <w:pPr>
        <w:pStyle w:val="Ruller4"/>
        <w:numPr>
          <w:ilvl w:val="0"/>
          <w:numId w:val="0"/>
        </w:numPr>
      </w:pPr>
    </w:p>
    <w:p w14:paraId="123EB7D1" w14:textId="77777777" w:rsidR="00E23C2C" w:rsidRDefault="00000000" w:rsidP="00E23C2C">
      <w:pPr>
        <w:pStyle w:val="Ruller4"/>
        <w:numPr>
          <w:ilvl w:val="0"/>
          <w:numId w:val="0"/>
        </w:numPr>
        <w:rPr>
          <w:rtl/>
        </w:rPr>
      </w:pPr>
      <w:r>
        <w:rPr>
          <w:rFonts w:ascii="Century" w:hAnsi="Century" w:cs="Miriam"/>
          <w:b/>
          <w:spacing w:val="0"/>
          <w:sz w:val="22"/>
          <w:szCs w:val="24"/>
          <w:rtl/>
        </w:rPr>
        <w:t>תמצית טענות הצדדים</w:t>
      </w:r>
    </w:p>
    <w:p w14:paraId="0B1E770A" w14:textId="77777777" w:rsidR="00E23C2C" w:rsidRDefault="00000000" w:rsidP="00E23C2C">
      <w:pPr>
        <w:pStyle w:val="Ruller4"/>
        <w:tabs>
          <w:tab w:val="clear" w:pos="360"/>
          <w:tab w:val="num" w:pos="907"/>
        </w:tabs>
      </w:pPr>
      <w:r>
        <w:rPr>
          <w:rtl/>
        </w:rPr>
        <w:t xml:space="preserve">הנאמן והחייב טענו בערעוריהם כי בית המשפט המחוזי שגה בקביעתו כי אין מדובר בהענקה בטלה כלפי הנאמן לפי </w:t>
      </w:r>
      <w:hyperlink r:id="rId12" w:history="1">
        <w:r w:rsidR="00D10EBD" w:rsidRPr="00D10EBD">
          <w:rPr>
            <w:rStyle w:val="Hyperlink"/>
            <w:rFonts w:hint="eastAsia"/>
            <w:rtl/>
          </w:rPr>
          <w:t>סעיף</w:t>
        </w:r>
        <w:r w:rsidR="00D10EBD" w:rsidRPr="00D10EBD">
          <w:rPr>
            <w:rStyle w:val="Hyperlink"/>
            <w:rtl/>
          </w:rPr>
          <w:t xml:space="preserve"> 96(</w:t>
        </w:r>
        <w:r w:rsidR="00D10EBD" w:rsidRPr="00D10EBD">
          <w:rPr>
            <w:rStyle w:val="Hyperlink"/>
            <w:rFonts w:hint="eastAsia"/>
            <w:rtl/>
          </w:rPr>
          <w:t>א</w:t>
        </w:r>
        <w:r w:rsidR="00D10EBD" w:rsidRPr="00D10EBD">
          <w:rPr>
            <w:rStyle w:val="Hyperlink"/>
            <w:rtl/>
          </w:rPr>
          <w:t>)</w:t>
        </w:r>
      </w:hyperlink>
      <w:r>
        <w:rPr>
          <w:rtl/>
        </w:rPr>
        <w:t xml:space="preserve"> לפקודה. לטענתם, הוכח כי החריגים </w:t>
      </w:r>
      <w:hyperlink r:id="rId13" w:history="1">
        <w:r w:rsidR="00D10EBD" w:rsidRPr="00D10EBD">
          <w:rPr>
            <w:rStyle w:val="Hyperlink"/>
            <w:rFonts w:hint="eastAsia"/>
            <w:rtl/>
          </w:rPr>
          <w:t>שבסעיף</w:t>
        </w:r>
        <w:r w:rsidR="00D10EBD" w:rsidRPr="00D10EBD">
          <w:rPr>
            <w:rStyle w:val="Hyperlink"/>
            <w:rtl/>
          </w:rPr>
          <w:t xml:space="preserve"> 96(</w:t>
        </w:r>
        <w:r w:rsidR="00D10EBD" w:rsidRPr="00D10EBD">
          <w:rPr>
            <w:rStyle w:val="Hyperlink"/>
            <w:rFonts w:hint="eastAsia"/>
            <w:rtl/>
          </w:rPr>
          <w:t>ג</w:t>
        </w:r>
        <w:r w:rsidR="00D10EBD" w:rsidRPr="00D10EBD">
          <w:rPr>
            <w:rStyle w:val="Hyperlink"/>
            <w:rtl/>
          </w:rPr>
          <w:t>)(2)</w:t>
        </w:r>
      </w:hyperlink>
      <w:r>
        <w:rPr>
          <w:rtl/>
        </w:rPr>
        <w:t xml:space="preserve"> לפקודה אינם מתקיימים בענייננו, ולפיכך יש להורות על </w:t>
      </w:r>
      <w:r>
        <w:rPr>
          <w:rtl/>
        </w:rPr>
        <w:lastRenderedPageBreak/>
        <w:t xml:space="preserve">העברת כלל מניות החברה שהעביר החייב למערערת לידי הנאמן. בדיון שהתקיים לפנינו ביום 11.9.2024 חזרו בהם הצדדים מטענותיהם בכל הנוגע לסוגיית ההענקה, ועל כן לא נאריך עוד בפרטי טענות הצדדים בקשר אליה. </w:t>
      </w:r>
    </w:p>
    <w:p w14:paraId="2AC97142" w14:textId="77777777" w:rsidR="00E23C2C" w:rsidRDefault="00E23C2C" w:rsidP="00E23C2C">
      <w:pPr>
        <w:pStyle w:val="Ruller4"/>
        <w:numPr>
          <w:ilvl w:val="0"/>
          <w:numId w:val="0"/>
        </w:numPr>
      </w:pPr>
    </w:p>
    <w:p w14:paraId="0D0AB46A" w14:textId="77777777" w:rsidR="00E23C2C" w:rsidRDefault="00000000" w:rsidP="00E23C2C">
      <w:pPr>
        <w:pStyle w:val="Ruller4"/>
        <w:tabs>
          <w:tab w:val="clear" w:pos="360"/>
          <w:tab w:val="num" w:pos="907"/>
        </w:tabs>
      </w:pPr>
      <w:r>
        <w:rPr>
          <w:rtl/>
        </w:rPr>
        <w:t xml:space="preserve">מנגד, המערערת בערעורה (שהוגש כערעור משיב לפי </w:t>
      </w:r>
      <w:hyperlink r:id="rId14" w:history="1">
        <w:r w:rsidR="00D10EBD" w:rsidRPr="00D10EBD">
          <w:rPr>
            <w:rStyle w:val="Hyperlink"/>
            <w:rFonts w:hint="eastAsia"/>
            <w:rtl/>
          </w:rPr>
          <w:t>תקנה</w:t>
        </w:r>
        <w:r w:rsidR="00D10EBD" w:rsidRPr="00D10EBD">
          <w:rPr>
            <w:rStyle w:val="Hyperlink"/>
            <w:rtl/>
          </w:rPr>
          <w:t xml:space="preserve"> 137(</w:t>
        </w:r>
        <w:r w:rsidR="00D10EBD" w:rsidRPr="00D10EBD">
          <w:rPr>
            <w:rStyle w:val="Hyperlink"/>
            <w:rFonts w:hint="eastAsia"/>
            <w:rtl/>
          </w:rPr>
          <w:t>ב</w:t>
        </w:r>
        <w:r w:rsidR="00D10EBD" w:rsidRPr="00D10EBD">
          <w:rPr>
            <w:rStyle w:val="Hyperlink"/>
            <w:rtl/>
          </w:rPr>
          <w:t>)</w:t>
        </w:r>
      </w:hyperlink>
      <w:r>
        <w:rPr>
          <w:rtl/>
        </w:rPr>
        <w:t xml:space="preserve"> ל</w:t>
      </w:r>
      <w:hyperlink r:id="rId15" w:history="1">
        <w:r w:rsidR="00BD1C73" w:rsidRPr="00BD1C73">
          <w:rPr>
            <w:rFonts w:hint="eastAsia"/>
            <w:color w:val="0000FF"/>
            <w:u w:val="single"/>
            <w:rtl/>
          </w:rPr>
          <w:t>תקנות</w:t>
        </w:r>
        <w:r w:rsidR="00BD1C73" w:rsidRPr="00BD1C73">
          <w:rPr>
            <w:color w:val="0000FF"/>
            <w:u w:val="single"/>
            <w:rtl/>
          </w:rPr>
          <w:t xml:space="preserve"> </w:t>
        </w:r>
        <w:r w:rsidR="00BD1C73" w:rsidRPr="00BD1C73">
          <w:rPr>
            <w:rFonts w:hint="eastAsia"/>
            <w:color w:val="0000FF"/>
            <w:u w:val="single"/>
            <w:rtl/>
          </w:rPr>
          <w:t>סדר</w:t>
        </w:r>
        <w:r w:rsidR="00BD1C73" w:rsidRPr="00BD1C73">
          <w:rPr>
            <w:color w:val="0000FF"/>
            <w:u w:val="single"/>
            <w:rtl/>
          </w:rPr>
          <w:t xml:space="preserve"> </w:t>
        </w:r>
        <w:r w:rsidR="00BD1C73" w:rsidRPr="00BD1C73">
          <w:rPr>
            <w:rFonts w:hint="eastAsia"/>
            <w:color w:val="0000FF"/>
            <w:u w:val="single"/>
            <w:rtl/>
          </w:rPr>
          <w:t>הדין</w:t>
        </w:r>
        <w:r w:rsidR="00BD1C73" w:rsidRPr="00BD1C73">
          <w:rPr>
            <w:color w:val="0000FF"/>
            <w:u w:val="single"/>
            <w:rtl/>
          </w:rPr>
          <w:t xml:space="preserve"> </w:t>
        </w:r>
        <w:r w:rsidR="00BD1C73" w:rsidRPr="00BD1C73">
          <w:rPr>
            <w:rFonts w:hint="eastAsia"/>
            <w:color w:val="0000FF"/>
            <w:u w:val="single"/>
            <w:rtl/>
          </w:rPr>
          <w:t>האזרחי</w:t>
        </w:r>
        <w:r w:rsidR="00BD1C73" w:rsidRPr="00BD1C73">
          <w:rPr>
            <w:color w:val="0000FF"/>
            <w:u w:val="single"/>
            <w:rtl/>
          </w:rPr>
          <w:t xml:space="preserve">, </w:t>
        </w:r>
        <w:r w:rsidR="00BD1C73" w:rsidRPr="00BD1C73">
          <w:rPr>
            <w:rFonts w:hint="eastAsia"/>
            <w:color w:val="0000FF"/>
            <w:u w:val="single"/>
            <w:rtl/>
          </w:rPr>
          <w:t>התשע</w:t>
        </w:r>
        <w:r w:rsidR="00BD1C73" w:rsidRPr="00BD1C73">
          <w:rPr>
            <w:color w:val="0000FF"/>
            <w:u w:val="single"/>
            <w:rtl/>
          </w:rPr>
          <w:t>"</w:t>
        </w:r>
        <w:r w:rsidR="00BD1C73" w:rsidRPr="00BD1C73">
          <w:rPr>
            <w:rFonts w:hint="eastAsia"/>
            <w:color w:val="0000FF"/>
            <w:u w:val="single"/>
            <w:rtl/>
          </w:rPr>
          <w:t>ט</w:t>
        </w:r>
      </w:hyperlink>
      <w:r>
        <w:rPr>
          <w:rtl/>
        </w:rPr>
        <w:t xml:space="preserve">-2018) טענה כי לא היה מקום לקבוע שעליה להעביר לידי הנאמן 35% ממניות החברה, אלא 30% מהון המניות בלבד. זאת שכן נקודת המוצא בהכרעת בית המשפט המחוזי היא שההסכמים שנערכו בין המערערת לבין החייב – בהם הוסדרה מערכת היחסים החוזית בין הצדדים, ושהקנו לה 65% מהון מניות החברה – תקפים וקיימים, תוך שנדחו ניסיונותיהם של הנאמן והחייב להביא לביטולם. נוכח קביעה זו, הרי שיש לראות גם בהוראת סעיף 2.6 המורה על העברת 5% מהמניות, כהוראה תקפה. העברת 5% ממניות החברה בהתאם לתנאי הסעיף האמור איננה מהווה עסקה חדשה, כי אם יישום והוצאה לפועל של עסקה שקנתה תוקף בטרם מעשה פשיטת הרגל. המועד הרלוונטי לבחינת כשרות העסקה הוא אפוא המועד שבו התחייב החייב להוציא את הנכס ממצבת נכסיו, היינו מועד כריתת ההסכמים, ולא המועד בו השתכללה זכות המערערת לקבל את המניות הנוספות (ביום 28.7.2018) או המועד בו הועברו המניות בפועל (בחודש נובמבר 2018). בשולי ערעורה ביקשה המערערת כי גם אם ידחה ערעורה, לכל הפחות ייקבע שאין בפסק דינו של בית המשפט המחוזי "משום מעשה בית דין" באופן שבו היא תהיה זכאית לנקוט בהליכים משפטיים לשם אכיפת זכותה לקבלת 5% מהון מניות החברה. </w:t>
      </w:r>
    </w:p>
    <w:p w14:paraId="6EB80C43" w14:textId="77777777" w:rsidR="00E23C2C" w:rsidRDefault="00E23C2C" w:rsidP="00E23C2C">
      <w:pPr>
        <w:pStyle w:val="Ruller41"/>
        <w:rPr>
          <w:rtl/>
        </w:rPr>
      </w:pPr>
    </w:p>
    <w:p w14:paraId="25BB6AAA" w14:textId="77777777" w:rsidR="00E23C2C" w:rsidRDefault="00000000" w:rsidP="00E23C2C">
      <w:pPr>
        <w:pStyle w:val="Ruller4"/>
        <w:tabs>
          <w:tab w:val="clear" w:pos="360"/>
          <w:tab w:val="num" w:pos="907"/>
        </w:tabs>
        <w:rPr>
          <w:rtl/>
        </w:rPr>
      </w:pPr>
      <w:r>
        <w:rPr>
          <w:rtl/>
        </w:rPr>
        <w:t xml:space="preserve">הנאמן טען כי דין ערעור המערערת להידחות. ראשית, הטענה על פיה מדובר בהתחייבות חוזית שתוקפה מיום כריתת ההסכמים לא עלתה בבית המשפט המחוזי, ומדובר במקצה שיפורים המצדיק דחיית הערעור מטעם זה לבדו. שנית, לאור האירועים שאירעו לאחר כריתת ההסכמים והאופן שבו הם יושמו, הוראת סעיף 2.6 בנוגע להעברת 5% מהון המניות איננה רלוונטית עוד. שלישית, לא ניתן לראות את ההתחייבות להעברת 5% מהון המניות של החברה מהחייב למערערת לפי סעיף 2.6 כחלה למפרע מיום חתימת ההסכמים, כפי שמבקשת המערערת לעשות. מדובר בהתחייבות חוזית אשר נכנסת לתוקף ומחייבת את הצדדים רק ככל שלא יתקיים מאורע אובייקטיבי חיצוני – אישור תוכנית התב"ע – עד ליום 28.7.2018. מדובר אפוא בהתחייבות אשר באה לעולם רק במועד העתידי האמור. ההלכה לפיה מועד הוצאת הרכוש מידי החייב אינו הרלוונטי אלא מועד יצירת ההתחייבות אינה נכונה בענייננו שעה שלא הייתה כל כוונה להקנות למערערת זכות ב-5% מניות החברה במועד יצירת </w:t>
      </w:r>
      <w:r>
        <w:rPr>
          <w:rtl/>
        </w:rPr>
        <w:lastRenderedPageBreak/>
        <w:t xml:space="preserve">ההתחייבות, וההסכמה לכך הייתה מותנית כאמור בקיומו של אירוע חיצוני-עתידי. כונס הנכסים הרשמי הצטרף לעמדת הנאמן על נימוקיה. </w:t>
      </w:r>
    </w:p>
    <w:p w14:paraId="21F7CD35" w14:textId="77777777" w:rsidR="00E23C2C" w:rsidRDefault="00E23C2C" w:rsidP="00E23C2C">
      <w:pPr>
        <w:pStyle w:val="Ruller4"/>
        <w:numPr>
          <w:ilvl w:val="0"/>
          <w:numId w:val="0"/>
        </w:numPr>
      </w:pPr>
    </w:p>
    <w:p w14:paraId="3A882EBD" w14:textId="77777777" w:rsidR="00E23C2C" w:rsidRDefault="00000000" w:rsidP="00E23C2C">
      <w:pPr>
        <w:pStyle w:val="Ruller4"/>
        <w:tabs>
          <w:tab w:val="clear" w:pos="360"/>
          <w:tab w:val="num" w:pos="907"/>
        </w:tabs>
        <w:rPr>
          <w:rtl/>
        </w:rPr>
      </w:pPr>
      <w:r>
        <w:rPr>
          <w:rtl/>
        </w:rPr>
        <w:t>החייב סבר גם הוא כי דין הערעור להידחות. לטענתו, סעיף 2.6 העוסק בהעברת 5% מהון המניות אינו מורה על העברה של זכות במועד המאוחר לצו הכינוס, אלא בסעיף מותנה שמשמעותו כי מדובר בהתחייבות עתידית בלבד. עצם ההתניה גורמת לכך שמדובר בחוב עתידי, היינו לכל היותר מדובר ב"חוב בר-תביעה". לפיכך, דינו של חוב זה להתברר באמצעות הגשת תביעת חוב (כפי שגם עשתה המערערת בעבר ומאוחר יותר חזרה בה). מעבר לכך עצם כניסתו להליך פשיטת הרגל מנעה ממנו לעמוד בתניה האמורה, שכן לא יכל עוד לפעול לקידום אישור התב"ע, באופן שגם כן מצדיק דחיית טענות המערערת מכוח דיני עשיית עושר ולא במשפט.</w:t>
      </w:r>
    </w:p>
    <w:p w14:paraId="1575E340" w14:textId="77777777" w:rsidR="00E23C2C" w:rsidRDefault="00E23C2C" w:rsidP="00E23C2C">
      <w:pPr>
        <w:pStyle w:val="Ruller41"/>
        <w:rPr>
          <w:rtl/>
        </w:rPr>
      </w:pPr>
    </w:p>
    <w:p w14:paraId="669BD8E0" w14:textId="77777777" w:rsidR="00E23C2C" w:rsidRDefault="00000000" w:rsidP="00E23C2C">
      <w:pPr>
        <w:pStyle w:val="Ruller41"/>
        <w:rPr>
          <w:rFonts w:ascii="Century" w:hAnsi="Century" w:cs="Miriam"/>
          <w:b/>
          <w:spacing w:val="0"/>
          <w:szCs w:val="24"/>
          <w:rtl/>
        </w:rPr>
      </w:pPr>
      <w:r>
        <w:rPr>
          <w:rFonts w:ascii="Century" w:hAnsi="Century" w:cs="Miriam"/>
          <w:b/>
          <w:spacing w:val="0"/>
          <w:szCs w:val="24"/>
          <w:rtl/>
        </w:rPr>
        <w:t>דיון והכרעה</w:t>
      </w:r>
    </w:p>
    <w:p w14:paraId="03DC0649" w14:textId="77777777" w:rsidR="00E23C2C" w:rsidRDefault="00000000" w:rsidP="00E23C2C">
      <w:pPr>
        <w:pStyle w:val="Ruller4"/>
        <w:tabs>
          <w:tab w:val="clear" w:pos="360"/>
          <w:tab w:val="num" w:pos="907"/>
        </w:tabs>
        <w:rPr>
          <w:rtl/>
        </w:rPr>
      </w:pPr>
      <w:r>
        <w:rPr>
          <w:rtl/>
        </w:rPr>
        <w:t xml:space="preserve">כאמור לעיל, בדיון שנערך לפנינו ביום 11.9.2024 חזרו בהם הצדדים מהטענות בסוגיית הענקה בטלה לפי </w:t>
      </w:r>
      <w:hyperlink r:id="rId16" w:history="1">
        <w:r w:rsidR="00D10EBD" w:rsidRPr="00D10EBD">
          <w:rPr>
            <w:rStyle w:val="Hyperlink"/>
            <w:rFonts w:hint="eastAsia"/>
            <w:rtl/>
          </w:rPr>
          <w:t>סעיף</w:t>
        </w:r>
        <w:r w:rsidR="00D10EBD" w:rsidRPr="00D10EBD">
          <w:rPr>
            <w:rStyle w:val="Hyperlink"/>
            <w:rtl/>
          </w:rPr>
          <w:t xml:space="preserve"> 96</w:t>
        </w:r>
      </w:hyperlink>
      <w:r>
        <w:rPr>
          <w:rtl/>
        </w:rPr>
        <w:t xml:space="preserve"> לפקודה. משכך, אין מקום לדון בסוגיה זו ודין ערעורי הנאמן והחייב להידחות. כל שנותר הוא אפוא ערעור המערערת אשר מופנה נגד קביעת בית המשפט המחוזי כי העברת 5% מהון המניות ביום 22.11.2018 – בטלה.</w:t>
      </w:r>
    </w:p>
    <w:p w14:paraId="2AE9CA21" w14:textId="77777777" w:rsidR="00E23C2C" w:rsidRDefault="00E23C2C" w:rsidP="00E23C2C">
      <w:pPr>
        <w:pStyle w:val="Ruller41"/>
        <w:rPr>
          <w:rtl/>
        </w:rPr>
      </w:pPr>
    </w:p>
    <w:p w14:paraId="65FC22E3" w14:textId="77777777" w:rsidR="00E23C2C" w:rsidRDefault="00000000" w:rsidP="00E23C2C">
      <w:pPr>
        <w:pStyle w:val="Ruller4"/>
        <w:tabs>
          <w:tab w:val="clear" w:pos="360"/>
          <w:tab w:val="num" w:pos="907"/>
        </w:tabs>
      </w:pPr>
      <w:r>
        <w:rPr>
          <w:rtl/>
        </w:rPr>
        <w:t>עם הכרזת החייב פושט רגל, נכסיו "מוקנים" כולם לנאמן (</w:t>
      </w:r>
      <w:hyperlink r:id="rId17" w:history="1">
        <w:r w:rsidR="00D10EBD" w:rsidRPr="00D10EBD">
          <w:rPr>
            <w:rStyle w:val="Hyperlink"/>
            <w:rFonts w:hint="eastAsia"/>
            <w:rtl/>
          </w:rPr>
          <w:t>סעיף</w:t>
        </w:r>
        <w:r w:rsidR="00D10EBD" w:rsidRPr="00D10EBD">
          <w:rPr>
            <w:rStyle w:val="Hyperlink"/>
            <w:rtl/>
          </w:rPr>
          <w:t xml:space="preserve"> 42</w:t>
        </w:r>
      </w:hyperlink>
      <w:r>
        <w:rPr>
          <w:rtl/>
        </w:rPr>
        <w:t xml:space="preserve"> לפקודה). אולם לפי "כלל הייחוס לאחור" המעוגן בהוראת </w:t>
      </w:r>
      <w:hyperlink r:id="rId18" w:history="1">
        <w:r w:rsidR="00D10EBD" w:rsidRPr="00D10EBD">
          <w:rPr>
            <w:rStyle w:val="Hyperlink"/>
            <w:rFonts w:hint="eastAsia"/>
            <w:rtl/>
          </w:rPr>
          <w:t>סעיף</w:t>
        </w:r>
        <w:r w:rsidR="00D10EBD" w:rsidRPr="00D10EBD">
          <w:rPr>
            <w:rStyle w:val="Hyperlink"/>
            <w:rtl/>
          </w:rPr>
          <w:t xml:space="preserve"> 84(</w:t>
        </w:r>
        <w:r w:rsidR="00D10EBD" w:rsidRPr="00D10EBD">
          <w:rPr>
            <w:rStyle w:val="Hyperlink"/>
            <w:rFonts w:hint="eastAsia"/>
            <w:rtl/>
          </w:rPr>
          <w:t>א</w:t>
        </w:r>
        <w:r w:rsidR="00D10EBD" w:rsidRPr="00D10EBD">
          <w:rPr>
            <w:rStyle w:val="Hyperlink"/>
            <w:rtl/>
          </w:rPr>
          <w:t>)</w:t>
        </w:r>
      </w:hyperlink>
      <w:r>
        <w:rPr>
          <w:rtl/>
        </w:rPr>
        <w:t xml:space="preserve"> לפקודה, הקנייה זו חלה כבר למן מועד מעשה פשיטת הרגל (</w:t>
      </w:r>
      <w:hyperlink r:id="rId19" w:history="1">
        <w:r w:rsidR="00BD1C73" w:rsidRPr="00BD1C73">
          <w:rPr>
            <w:rFonts w:hint="eastAsia"/>
            <w:color w:val="0000FF"/>
            <w:u w:val="single"/>
            <w:rtl/>
          </w:rPr>
          <w:t>ע</w:t>
        </w:r>
        <w:r w:rsidR="00BD1C73" w:rsidRPr="00BD1C73">
          <w:rPr>
            <w:color w:val="0000FF"/>
            <w:u w:val="single"/>
            <w:rtl/>
          </w:rPr>
          <w:t>"</w:t>
        </w:r>
        <w:r w:rsidR="00BD1C73" w:rsidRPr="00BD1C73">
          <w:rPr>
            <w:rFonts w:hint="eastAsia"/>
            <w:color w:val="0000FF"/>
            <w:u w:val="single"/>
            <w:rtl/>
          </w:rPr>
          <w:t>א</w:t>
        </w:r>
        <w:r w:rsidR="00BD1C73" w:rsidRPr="00BD1C73">
          <w:rPr>
            <w:color w:val="0000FF"/>
            <w:u w:val="single"/>
            <w:rtl/>
          </w:rPr>
          <w:t xml:space="preserve"> 1656/90</w:t>
        </w:r>
      </w:hyperlink>
      <w:r>
        <w:rPr>
          <w:rtl/>
        </w:rPr>
        <w:t xml:space="preserve"> </w:t>
      </w:r>
      <w:r>
        <w:rPr>
          <w:rFonts w:ascii="Century" w:hAnsi="Century" w:cs="Miriam"/>
          <w:b/>
          <w:spacing w:val="0"/>
          <w:sz w:val="22"/>
          <w:szCs w:val="24"/>
          <w:rtl/>
        </w:rPr>
        <w:t>זילברמן נ' הנאמן בפשיטת רגל לנכסי החייב חיים גושן</w:t>
      </w:r>
      <w:r>
        <w:rPr>
          <w:rtl/>
        </w:rPr>
        <w:t xml:space="preserve">, פ"ד מו(3) 854, 858-857 (1992); </w:t>
      </w:r>
      <w:hyperlink r:id="rId20" w:history="1">
        <w:r w:rsidR="009659A5" w:rsidRPr="009659A5">
          <w:rPr>
            <w:rStyle w:val="Hyperlink"/>
            <w:rFonts w:hint="eastAsia"/>
            <w:rtl/>
          </w:rPr>
          <w:t>ע</w:t>
        </w:r>
        <w:r w:rsidR="009659A5" w:rsidRPr="009659A5">
          <w:rPr>
            <w:rStyle w:val="Hyperlink"/>
            <w:rtl/>
          </w:rPr>
          <w:t>"</w:t>
        </w:r>
        <w:r w:rsidR="009659A5" w:rsidRPr="009659A5">
          <w:rPr>
            <w:rStyle w:val="Hyperlink"/>
            <w:rFonts w:hint="eastAsia"/>
            <w:rtl/>
          </w:rPr>
          <w:t>א</w:t>
        </w:r>
        <w:r w:rsidR="009659A5" w:rsidRPr="009659A5">
          <w:rPr>
            <w:rStyle w:val="Hyperlink"/>
            <w:rtl/>
          </w:rPr>
          <w:t xml:space="preserve"> 5709/99</w:t>
        </w:r>
      </w:hyperlink>
      <w:r>
        <w:rPr>
          <w:rtl/>
        </w:rPr>
        <w:t xml:space="preserve">‏ </w:t>
      </w:r>
      <w:r>
        <w:rPr>
          <w:rFonts w:ascii="Century" w:hAnsi="Century" w:cs="Miriam"/>
          <w:b/>
          <w:spacing w:val="0"/>
          <w:sz w:val="22"/>
          <w:szCs w:val="24"/>
          <w:rtl/>
        </w:rPr>
        <w:t>לוין נ' גד שילר, עו"ד</w:t>
      </w:r>
      <w:r>
        <w:rPr>
          <w:rtl/>
        </w:rPr>
        <w:t xml:space="preserve">, פ"ד נה(4) 925, 942-941 (2001)). לטענת המערערת, בענייננו אין מדובר בעסקה </w:t>
      </w:r>
      <w:r>
        <w:rPr>
          <w:rFonts w:ascii="Century" w:hAnsi="Century"/>
          <w:sz w:val="22"/>
          <w:rtl/>
        </w:rPr>
        <w:t xml:space="preserve">שהתבצעה </w:t>
      </w:r>
      <w:r>
        <w:rPr>
          <w:rFonts w:ascii="Century" w:hAnsi="Century" w:cs="Miriam"/>
          <w:b/>
          <w:spacing w:val="0"/>
          <w:sz w:val="22"/>
          <w:szCs w:val="24"/>
          <w:rtl/>
        </w:rPr>
        <w:t>לאחר</w:t>
      </w:r>
      <w:r>
        <w:rPr>
          <w:rFonts w:ascii="Century" w:hAnsi="Century"/>
          <w:sz w:val="22"/>
          <w:rtl/>
        </w:rPr>
        <w:t xml:space="preserve"> מעשה</w:t>
      </w:r>
      <w:r>
        <w:rPr>
          <w:rtl/>
        </w:rPr>
        <w:t xml:space="preserve"> פשיטת הרגל, משום שמדובר בהתחייבות אשר נוצרה בהסכמים </w:t>
      </w:r>
      <w:r>
        <w:rPr>
          <w:rFonts w:ascii="Century" w:hAnsi="Century" w:cs="Miriam"/>
          <w:b/>
          <w:spacing w:val="0"/>
          <w:sz w:val="22"/>
          <w:szCs w:val="24"/>
          <w:rtl/>
        </w:rPr>
        <w:t>שקדמו</w:t>
      </w:r>
      <w:r>
        <w:rPr>
          <w:rtl/>
        </w:rPr>
        <w:t xml:space="preserve"> למעשה פשיטת הרגל. ברם, העיקר הוא כי מדובר בהוראה חוזית </w:t>
      </w:r>
      <w:r>
        <w:rPr>
          <w:rFonts w:ascii="Century" w:hAnsi="Century"/>
          <w:rtl/>
        </w:rPr>
        <w:t xml:space="preserve">הנוגעת לקיום חיוב עתידי, שחל לבסוף </w:t>
      </w:r>
      <w:r>
        <w:rPr>
          <w:rFonts w:ascii="Century" w:hAnsi="Century"/>
          <w:sz w:val="22"/>
          <w:rtl/>
        </w:rPr>
        <w:t xml:space="preserve">רק לאחר מתן </w:t>
      </w:r>
      <w:r>
        <w:rPr>
          <w:rFonts w:ascii="Century" w:hAnsi="Century" w:cs="Miriam"/>
          <w:b/>
          <w:spacing w:val="0"/>
          <w:sz w:val="22"/>
          <w:szCs w:val="24"/>
          <w:rtl/>
        </w:rPr>
        <w:t>צו הכינוס</w:t>
      </w:r>
      <w:r>
        <w:rPr>
          <w:rFonts w:ascii="Century" w:hAnsi="Century"/>
          <w:rtl/>
        </w:rPr>
        <w:t xml:space="preserve">. </w:t>
      </w:r>
    </w:p>
    <w:p w14:paraId="14D34292" w14:textId="77777777" w:rsidR="00E23C2C" w:rsidRDefault="00E23C2C" w:rsidP="00E23C2C">
      <w:pPr>
        <w:pStyle w:val="Ruller4"/>
        <w:numPr>
          <w:ilvl w:val="0"/>
          <w:numId w:val="0"/>
        </w:numPr>
        <w:rPr>
          <w:rFonts w:ascii="Century" w:hAnsi="Century"/>
        </w:rPr>
      </w:pPr>
    </w:p>
    <w:p w14:paraId="07ADA84B" w14:textId="77777777" w:rsidR="00E23C2C" w:rsidRDefault="00000000" w:rsidP="00E23C2C">
      <w:pPr>
        <w:pStyle w:val="Ruller4"/>
        <w:numPr>
          <w:ilvl w:val="0"/>
          <w:numId w:val="0"/>
        </w:numPr>
        <w:rPr>
          <w:rtl/>
        </w:rPr>
      </w:pPr>
      <w:r>
        <w:rPr>
          <w:rFonts w:ascii="Century" w:hAnsi="Century"/>
          <w:rtl/>
        </w:rPr>
        <w:tab/>
        <w:t xml:space="preserve">וכך קובעת </w:t>
      </w:r>
      <w:r>
        <w:rPr>
          <w:rtl/>
        </w:rPr>
        <w:t>הוראת סעיף 2.6:</w:t>
      </w:r>
    </w:p>
    <w:p w14:paraId="2C1E0323" w14:textId="77777777" w:rsidR="00E23C2C" w:rsidRDefault="00E23C2C" w:rsidP="00E23C2C">
      <w:pPr>
        <w:pStyle w:val="Ruller41"/>
        <w:rPr>
          <w:rtl/>
        </w:rPr>
      </w:pPr>
    </w:p>
    <w:p w14:paraId="166B30E8" w14:textId="77777777" w:rsidR="00E23C2C" w:rsidRDefault="00000000" w:rsidP="00E23C2C">
      <w:pPr>
        <w:pStyle w:val="Ruller5"/>
        <w:rPr>
          <w:rtl/>
        </w:rPr>
      </w:pPr>
      <w:r>
        <w:rPr>
          <w:rtl/>
        </w:rPr>
        <w:t>"היה והתב"ע המתוכננת לפרויקט לא תאושר עד ליום ה-28.7.18, ידולל חלקו של בעל המניות בחברה ב-5% מסך כל הון המניות בחברה, וחלקו של המשקיע יגדל ב-5% הנ"ל [...]".</w:t>
      </w:r>
    </w:p>
    <w:p w14:paraId="293FE9EE" w14:textId="77777777" w:rsidR="00E23C2C" w:rsidRDefault="00E23C2C" w:rsidP="00E23C2C">
      <w:pPr>
        <w:pStyle w:val="Ruller41"/>
        <w:rPr>
          <w:rtl/>
        </w:rPr>
      </w:pPr>
    </w:p>
    <w:p w14:paraId="13FE2B67" w14:textId="77777777" w:rsidR="00E23C2C" w:rsidRDefault="00000000" w:rsidP="00E23C2C">
      <w:pPr>
        <w:pStyle w:val="Ruller41"/>
        <w:rPr>
          <w:rtl/>
        </w:rPr>
      </w:pPr>
      <w:r>
        <w:rPr>
          <w:rtl/>
        </w:rPr>
        <w:tab/>
        <w:t xml:space="preserve">היינו, העברת 5% מהון המניות תיכנס לתוקף רק ככל שיתקיים התנאי </w:t>
      </w:r>
      <w:r>
        <w:rPr>
          <w:rFonts w:ascii="Century" w:hAnsi="Century"/>
          <w:rtl/>
        </w:rPr>
        <w:t>אשר יתגבש באופן סופי רק לאחר יום 28.7.2018</w:t>
      </w:r>
      <w:r>
        <w:rPr>
          <w:rtl/>
        </w:rPr>
        <w:t xml:space="preserve">, במצב שבו במועד זה התב"ע לא תאושר. מדובר אפוא בחיוב עתידי-מותנה, שמקורו אמנם בהתחייבות מלפני מתן צו הכינוס (שניתן כאמור ביום 21.1.2018), אך תחולתו לאחריו. חיוב מסוג זה נכנס לגדרו של "חוב בר-תביעה" לפי הוראת </w:t>
      </w:r>
      <w:hyperlink r:id="rId21" w:history="1">
        <w:r w:rsidR="00D10EBD" w:rsidRPr="00D10EBD">
          <w:rPr>
            <w:rStyle w:val="Hyperlink"/>
            <w:rtl/>
          </w:rPr>
          <w:t>סעיף 71(א)</w:t>
        </w:r>
      </w:hyperlink>
      <w:r>
        <w:rPr>
          <w:rtl/>
        </w:rPr>
        <w:t xml:space="preserve"> לפקודה המגדיר "חובות בני-תביעה" בפשיטת רגל, באופן הבא:</w:t>
      </w:r>
    </w:p>
    <w:p w14:paraId="18D3BD07" w14:textId="77777777" w:rsidR="00E23C2C" w:rsidRDefault="00E23C2C" w:rsidP="00E23C2C">
      <w:pPr>
        <w:pStyle w:val="Ruller4"/>
        <w:numPr>
          <w:ilvl w:val="0"/>
          <w:numId w:val="0"/>
        </w:numPr>
      </w:pPr>
    </w:p>
    <w:p w14:paraId="0E076846" w14:textId="77777777" w:rsidR="00E23C2C" w:rsidRDefault="00000000" w:rsidP="00E23C2C">
      <w:pPr>
        <w:pStyle w:val="Ruller5"/>
        <w:rPr>
          <w:rtl/>
        </w:rPr>
      </w:pPr>
      <w:r>
        <w:rPr>
          <w:rtl/>
        </w:rPr>
        <w:t xml:space="preserve">חוב </w:t>
      </w:r>
      <w:r>
        <w:rPr>
          <w:rFonts w:ascii="Century" w:hAnsi="Century" w:cs="Miriam"/>
          <w:b/>
          <w:spacing w:val="0"/>
          <w:szCs w:val="24"/>
          <w:rtl/>
        </w:rPr>
        <w:t>וחבות</w:t>
      </w:r>
      <w:r>
        <w:rPr>
          <w:rtl/>
        </w:rPr>
        <w:t xml:space="preserve"> קיימים או </w:t>
      </w:r>
      <w:r>
        <w:rPr>
          <w:rFonts w:ascii="Century" w:hAnsi="Century" w:cs="Miriam"/>
          <w:b/>
          <w:spacing w:val="0"/>
          <w:szCs w:val="24"/>
          <w:rtl/>
        </w:rPr>
        <w:t>עתידים</w:t>
      </w:r>
      <w:r>
        <w:rPr>
          <w:rtl/>
        </w:rPr>
        <w:t xml:space="preserve">, ודאים או </w:t>
      </w:r>
      <w:r>
        <w:rPr>
          <w:rFonts w:ascii="Century" w:hAnsi="Century" w:cs="Miriam"/>
          <w:b/>
          <w:spacing w:val="0"/>
          <w:szCs w:val="24"/>
          <w:rtl/>
        </w:rPr>
        <w:t>מותנים</w:t>
      </w:r>
      <w:r>
        <w:rPr>
          <w:rtl/>
        </w:rPr>
        <w:t xml:space="preserve">, החלים על החייב ביום מתן צו הכינוס, </w:t>
      </w:r>
      <w:r>
        <w:rPr>
          <w:rFonts w:ascii="Century" w:hAnsi="Century" w:cs="Miriam"/>
          <w:b/>
          <w:spacing w:val="0"/>
          <w:szCs w:val="24"/>
          <w:rtl/>
        </w:rPr>
        <w:t>או שיחולו עליו לפני הפטרו עקב התחייבות מלפני מתן הצו</w:t>
      </w:r>
      <w:r>
        <w:rPr>
          <w:rtl/>
        </w:rPr>
        <w:t>, יהיו חובות בני תביעה בפשיטת רגל.</w:t>
      </w:r>
    </w:p>
    <w:p w14:paraId="4D37F7C8" w14:textId="77777777" w:rsidR="00E23C2C" w:rsidRDefault="00E23C2C" w:rsidP="00E23C2C">
      <w:pPr>
        <w:pStyle w:val="Ruller41"/>
        <w:rPr>
          <w:rtl/>
        </w:rPr>
      </w:pPr>
    </w:p>
    <w:p w14:paraId="77298FE4" w14:textId="77777777" w:rsidR="00E23C2C" w:rsidRDefault="00000000" w:rsidP="00E23C2C">
      <w:pPr>
        <w:pStyle w:val="Ruller41"/>
        <w:rPr>
          <w:rtl/>
        </w:rPr>
      </w:pPr>
      <w:r>
        <w:rPr>
          <w:rtl/>
        </w:rPr>
        <w:tab/>
        <w:t xml:space="preserve">לגבי חוב בר תביעה הכלל הוא, בהתאם להוראת </w:t>
      </w:r>
      <w:hyperlink r:id="rId22" w:history="1">
        <w:r w:rsidR="00D10EBD" w:rsidRPr="00D10EBD">
          <w:rPr>
            <w:rStyle w:val="Hyperlink"/>
            <w:rtl/>
          </w:rPr>
          <w:t>סעיף 20(א)</w:t>
        </w:r>
      </w:hyperlink>
      <w:r>
        <w:rPr>
          <w:rtl/>
        </w:rPr>
        <w:t xml:space="preserve"> לפקודה, לנושה לא נתונה האפשרות להיפרע מן החייב, אלא במסגרת הליכי פשיטת הרגל</w:t>
      </w:r>
      <w:r>
        <w:rPr>
          <w:b/>
          <w:bCs/>
          <w:rtl/>
        </w:rPr>
        <w:t xml:space="preserve"> </w:t>
      </w:r>
      <w:r>
        <w:rPr>
          <w:rtl/>
        </w:rPr>
        <w:t>(</w:t>
      </w:r>
      <w:hyperlink r:id="rId23" w:history="1">
        <w:r w:rsidR="009659A5" w:rsidRPr="009659A5">
          <w:rPr>
            <w:rStyle w:val="Hyperlink"/>
            <w:rtl/>
          </w:rPr>
          <w:t>ע"א 1516/99</w:t>
        </w:r>
      </w:hyperlink>
      <w:r>
        <w:rPr>
          <w:rtl/>
        </w:rPr>
        <w:t xml:space="preserve"> </w:t>
      </w:r>
      <w:r>
        <w:rPr>
          <w:rFonts w:ascii="Century" w:hAnsi="Century" w:cs="Miriam"/>
          <w:b/>
          <w:spacing w:val="0"/>
          <w:szCs w:val="24"/>
          <w:rtl/>
        </w:rPr>
        <w:t>לוי נ' חיג'אזי</w:t>
      </w:r>
      <w:r>
        <w:rPr>
          <w:rtl/>
        </w:rPr>
        <w:t xml:space="preserve">, פ"ד נה(4) 730, 742-739 (2001); </w:t>
      </w:r>
      <w:hyperlink r:id="rId24" w:history="1">
        <w:r w:rsidR="00BD1C73" w:rsidRPr="00BD1C73">
          <w:rPr>
            <w:color w:val="0000FF"/>
            <w:u w:val="single"/>
            <w:rtl/>
          </w:rPr>
          <w:t>ע"א 6553/20</w:t>
        </w:r>
      </w:hyperlink>
      <w:r>
        <w:rPr>
          <w:rtl/>
        </w:rPr>
        <w:t xml:space="preserve"> </w:t>
      </w:r>
      <w:r>
        <w:rPr>
          <w:rFonts w:ascii="Century" w:hAnsi="Century" w:cs="Miriam"/>
          <w:b/>
          <w:spacing w:val="0"/>
          <w:szCs w:val="24"/>
          <w:rtl/>
        </w:rPr>
        <w:t>עיריית תל אביב יפו נ' כונס הנכסים הרשמי</w:t>
      </w:r>
      <w:r>
        <w:rPr>
          <w:rtl/>
        </w:rPr>
        <w:t xml:space="preserve">, פסקה 11 </w:t>
      </w:r>
      <w:r w:rsidR="009659A5">
        <w:rPr>
          <w:rFonts w:hint="cs"/>
          <w:rtl/>
        </w:rPr>
        <w:t xml:space="preserve">[נבו] </w:t>
      </w:r>
      <w:r>
        <w:rPr>
          <w:rtl/>
        </w:rPr>
        <w:t xml:space="preserve">(29.7.2021)). וכך הוא כאמור גם בענייננו, כאשר מדובר בהתחייבות על-תנאי (וראו גם: שלמה לוין ואשר גרוניס </w:t>
      </w:r>
      <w:hyperlink r:id="rId25" w:history="1">
        <w:r w:rsidR="00BD1C73" w:rsidRPr="00BD1C73">
          <w:rPr>
            <w:rFonts w:ascii="Century" w:hAnsi="Century" w:cs="Miriam" w:hint="eastAsia"/>
            <w:b/>
            <w:color w:val="000000"/>
            <w:spacing w:val="0"/>
            <w:szCs w:val="24"/>
            <w:rtl/>
          </w:rPr>
          <w:t>פשיטת</w:t>
        </w:r>
        <w:r w:rsidR="00BD1C73" w:rsidRPr="00BD1C73">
          <w:rPr>
            <w:rFonts w:ascii="Century" w:hAnsi="Century" w:cs="Miriam"/>
            <w:b/>
            <w:color w:val="000000"/>
            <w:spacing w:val="0"/>
            <w:szCs w:val="24"/>
            <w:rtl/>
          </w:rPr>
          <w:t xml:space="preserve"> </w:t>
        </w:r>
        <w:r w:rsidR="00BD1C73" w:rsidRPr="00BD1C73">
          <w:rPr>
            <w:rFonts w:ascii="Century" w:hAnsi="Century" w:cs="Miriam" w:hint="eastAsia"/>
            <w:b/>
            <w:color w:val="000000"/>
            <w:spacing w:val="0"/>
            <w:szCs w:val="24"/>
            <w:rtl/>
          </w:rPr>
          <w:t>רגל</w:t>
        </w:r>
      </w:hyperlink>
      <w:r>
        <w:rPr>
          <w:rtl/>
        </w:rPr>
        <w:t xml:space="preserve"> 232-231 (מהדורה שלישית, 2010)). מכאן אפוא כי לא נפל כל פגם בהכרעת בית המשפט המחוזי אשר ביטל את העברת 5% מהון המניות לידי המערערת. </w:t>
      </w:r>
    </w:p>
    <w:p w14:paraId="10820EAC" w14:textId="77777777" w:rsidR="00E23C2C" w:rsidRDefault="00E23C2C" w:rsidP="00E23C2C">
      <w:pPr>
        <w:pStyle w:val="Ruller41"/>
        <w:rPr>
          <w:rtl/>
        </w:rPr>
      </w:pPr>
    </w:p>
    <w:p w14:paraId="6879A53D" w14:textId="77777777" w:rsidR="00E23C2C" w:rsidRDefault="00000000" w:rsidP="00E23C2C">
      <w:pPr>
        <w:pStyle w:val="Ruller4"/>
        <w:tabs>
          <w:tab w:val="clear" w:pos="360"/>
          <w:tab w:val="num" w:pos="907"/>
        </w:tabs>
        <w:rPr>
          <w:rtl/>
        </w:rPr>
      </w:pPr>
      <w:r>
        <w:rPr>
          <w:rtl/>
        </w:rPr>
        <w:t>אוסיף בשולי הדברים כי לא ירדתי לסוף דעת המערערת באשר לסעד החלופי שהתבקש. נראה כי המערערת מייחסת להכרעת בית המשפט המחוזי הרבה מעבר לאשר נקבע בה. בית המשפט המחוזי קבע כי העברת המניות שבוצעה ביום 22.11.2018 בטלה נוכח הליכי פשיטת הרגל בעניינו של החייב. פשיטא כי אין בכך כדי להכריע בטענות אחרות בקשר לתוקף ההתחייבות המנותקות מהליך פשיטת הרגל.</w:t>
      </w:r>
    </w:p>
    <w:p w14:paraId="1DC4FD50" w14:textId="77777777" w:rsidR="00E23C2C" w:rsidRDefault="00000000" w:rsidP="00E23C2C">
      <w:pPr>
        <w:pStyle w:val="Ruller41"/>
        <w:rPr>
          <w:rtl/>
        </w:rPr>
      </w:pPr>
      <w:r>
        <w:rPr>
          <w:rtl/>
        </w:rPr>
        <w:t xml:space="preserve"> </w:t>
      </w:r>
    </w:p>
    <w:p w14:paraId="2936ABF9" w14:textId="77777777" w:rsidR="00672A23" w:rsidRDefault="00DE3D68" w:rsidP="00672A23">
      <w:pPr>
        <w:pStyle w:val="Ruller4"/>
        <w:tabs>
          <w:tab w:val="clear" w:pos="360"/>
          <w:tab w:val="num" w:pos="907"/>
        </w:tabs>
        <w:rPr>
          <w:rtl/>
        </w:rPr>
      </w:pPr>
      <w:r>
        <w:rPr>
          <w:rtl/>
        </w:rPr>
        <w:t>לבסוף, אציין כי במהלך הדיון שנערך לפנינו עלתה הצעה מטעם המערערת על פיה היא תיטול על עצמה התחייבות לפרוע את כלל חובות החייב תמורת קבלת כלל מניותיו בחברה. איננו מביעים עמדה בעניין זה, והדרך פתוחה לפני המערערת להעלות הצעה זו לפני בית המשפט המחוזי וחזקה עליו כי ישקול אותה ויחליט בה לפי מיטב שיקול דעתו וחוכמתו.</w:t>
      </w:r>
    </w:p>
    <w:p w14:paraId="317034FE" w14:textId="77777777" w:rsidR="00632621" w:rsidRDefault="00632621" w:rsidP="00632621">
      <w:pPr>
        <w:pStyle w:val="Ruller41"/>
        <w:rPr>
          <w:rtl/>
        </w:rPr>
      </w:pPr>
    </w:p>
    <w:p w14:paraId="38ADBD54" w14:textId="77777777" w:rsidR="00632621" w:rsidRDefault="00632621" w:rsidP="00632621">
      <w:pPr>
        <w:pStyle w:val="Ruller41"/>
        <w:rPr>
          <w:rtl/>
        </w:rPr>
      </w:pPr>
    </w:p>
    <w:tbl>
      <w:tblPr>
        <w:bidiVisual/>
        <w:tblW w:w="0" w:type="auto"/>
        <w:tblLook w:val="04A0" w:firstRow="1" w:lastRow="0" w:firstColumn="1" w:lastColumn="0" w:noHBand="0" w:noVBand="1"/>
      </w:tblPr>
      <w:tblGrid>
        <w:gridCol w:w="2765"/>
        <w:gridCol w:w="2766"/>
        <w:gridCol w:w="2766"/>
      </w:tblGrid>
      <w:tr w:rsidR="00750D41" w14:paraId="6DA78DD0" w14:textId="77777777" w:rsidTr="00BD1C73">
        <w:tc>
          <w:tcPr>
            <w:tcW w:w="2765" w:type="dxa"/>
            <w:shd w:val="clear" w:color="auto" w:fill="auto"/>
          </w:tcPr>
          <w:p w14:paraId="7C451D2C" w14:textId="77777777" w:rsidR="00632621" w:rsidRPr="00BD1C73" w:rsidRDefault="00632621" w:rsidP="00BD1C73">
            <w:pPr>
              <w:spacing w:line="360" w:lineRule="auto"/>
              <w:jc w:val="center"/>
              <w:rPr>
                <w:rFonts w:ascii="FrankRuehl" w:hAnsi="FrankRuehl" w:cs="FrankRuehl"/>
                <w:sz w:val="28"/>
                <w:szCs w:val="28"/>
                <w:rtl/>
              </w:rPr>
            </w:pPr>
          </w:p>
        </w:tc>
        <w:tc>
          <w:tcPr>
            <w:tcW w:w="2766" w:type="dxa"/>
            <w:shd w:val="clear" w:color="auto" w:fill="auto"/>
          </w:tcPr>
          <w:p w14:paraId="027D2324" w14:textId="77777777" w:rsidR="00632621" w:rsidRPr="00BD1C73" w:rsidRDefault="00632621" w:rsidP="00BD1C73">
            <w:pPr>
              <w:spacing w:line="360" w:lineRule="auto"/>
              <w:jc w:val="center"/>
              <w:rPr>
                <w:rFonts w:ascii="FrankRuehl" w:hAnsi="FrankRuehl" w:cs="FrankRuehl"/>
                <w:sz w:val="28"/>
                <w:szCs w:val="28"/>
                <w:rtl/>
              </w:rPr>
            </w:pPr>
          </w:p>
        </w:tc>
        <w:tc>
          <w:tcPr>
            <w:tcW w:w="2766" w:type="dxa"/>
            <w:shd w:val="clear" w:color="auto" w:fill="auto"/>
          </w:tcPr>
          <w:p w14:paraId="15B9BCD3" w14:textId="77777777" w:rsidR="00BD1C73" w:rsidRPr="00BD1C73" w:rsidRDefault="00BD1C73" w:rsidP="00FA55F6">
            <w:pPr>
              <w:rPr>
                <w:rFonts w:ascii="Courier New" w:hAnsi="Courier New"/>
                <w:rtl/>
              </w:rPr>
            </w:pPr>
          </w:p>
          <w:p w14:paraId="118DAC98" w14:textId="77777777" w:rsidR="00BD1C73" w:rsidRPr="00BD1C73" w:rsidRDefault="00000000" w:rsidP="00BD1C73">
            <w:pPr>
              <w:pStyle w:val="31"/>
              <w:spacing w:line="240" w:lineRule="auto"/>
              <w:jc w:val="center"/>
              <w:rPr>
                <w:rFonts w:cs="FrankRuehl"/>
                <w:b w:val="0"/>
                <w:bCs w:val="0"/>
                <w:spacing w:val="10"/>
                <w:sz w:val="28"/>
                <w:szCs w:val="28"/>
                <w:rtl/>
              </w:rPr>
            </w:pPr>
            <w:r w:rsidRPr="00BD1C73">
              <w:rPr>
                <w:rFonts w:cs="FrankRuehl" w:hint="cs"/>
                <w:b w:val="0"/>
                <w:bCs w:val="0"/>
                <w:spacing w:val="10"/>
                <w:sz w:val="28"/>
                <w:szCs w:val="28"/>
                <w:rtl/>
              </w:rPr>
              <w:t xml:space="preserve">דוד מינץ </w:t>
            </w:r>
          </w:p>
          <w:p w14:paraId="032307B5" w14:textId="77777777" w:rsidR="00BD1C73" w:rsidRPr="00BD1C73" w:rsidRDefault="00000000" w:rsidP="00BD1C73">
            <w:pPr>
              <w:pStyle w:val="31"/>
              <w:spacing w:line="240" w:lineRule="auto"/>
              <w:jc w:val="left"/>
              <w:rPr>
                <w:rFonts w:cs="FrankRuehl"/>
                <w:b w:val="0"/>
                <w:bCs w:val="0"/>
                <w:spacing w:val="10"/>
                <w:sz w:val="28"/>
                <w:szCs w:val="28"/>
                <w:rtl/>
              </w:rPr>
            </w:pPr>
            <w:r w:rsidRPr="00BD1C73">
              <w:rPr>
                <w:rFonts w:cs="FrankRuehl" w:hint="cs"/>
                <w:b w:val="0"/>
                <w:bCs w:val="0"/>
                <w:spacing w:val="10"/>
                <w:sz w:val="28"/>
                <w:szCs w:val="28"/>
                <w:rtl/>
              </w:rPr>
              <w:t>שופט</w:t>
            </w:r>
          </w:p>
          <w:p w14:paraId="71EB5EFA" w14:textId="77777777" w:rsidR="00632621" w:rsidRPr="00BD1C73" w:rsidRDefault="00632621" w:rsidP="00BD1C73">
            <w:pPr>
              <w:spacing w:line="360" w:lineRule="auto"/>
              <w:rPr>
                <w:rFonts w:ascii="FrankRuehl" w:hAnsi="FrankRuehl" w:cs="FrankRuehl"/>
                <w:sz w:val="28"/>
                <w:szCs w:val="28"/>
                <w:rtl/>
              </w:rPr>
            </w:pPr>
          </w:p>
        </w:tc>
      </w:tr>
    </w:tbl>
    <w:p w14:paraId="4FF8522F" w14:textId="77777777" w:rsidR="00672A23" w:rsidRDefault="00672A23" w:rsidP="00672A23">
      <w:pPr>
        <w:pStyle w:val="Ruller4"/>
        <w:numPr>
          <w:ilvl w:val="0"/>
          <w:numId w:val="0"/>
        </w:numPr>
        <w:rPr>
          <w:rtl/>
        </w:rPr>
      </w:pPr>
    </w:p>
    <w:p w14:paraId="0475A507" w14:textId="77777777" w:rsidR="00672A23" w:rsidRDefault="00000000" w:rsidP="00632621">
      <w:pPr>
        <w:pStyle w:val="Ruller4"/>
        <w:keepNext/>
        <w:keepLines/>
        <w:numPr>
          <w:ilvl w:val="0"/>
          <w:numId w:val="0"/>
        </w:numPr>
        <w:rPr>
          <w:rFonts w:ascii="Century" w:hAnsi="Century" w:cs="Miriam"/>
          <w:b/>
          <w:spacing w:val="0"/>
          <w:szCs w:val="24"/>
          <w:u w:val="single"/>
          <w:rtl/>
        </w:rPr>
      </w:pPr>
      <w:r w:rsidRPr="00672A23">
        <w:rPr>
          <w:rFonts w:ascii="Century" w:hAnsi="Century" w:cs="Miriam"/>
          <w:b/>
          <w:spacing w:val="0"/>
          <w:szCs w:val="24"/>
          <w:u w:val="single"/>
          <w:rtl/>
        </w:rPr>
        <w:t xml:space="preserve">השופט </w:t>
      </w:r>
      <w:r>
        <w:rPr>
          <w:rFonts w:ascii="Century" w:hAnsi="Century" w:cs="Miriam" w:hint="cs"/>
          <w:b/>
          <w:spacing w:val="0"/>
          <w:szCs w:val="24"/>
          <w:u w:val="single"/>
          <w:rtl/>
        </w:rPr>
        <w:t>יצחק עמית</w:t>
      </w:r>
      <w:r w:rsidRPr="00672A23">
        <w:rPr>
          <w:rFonts w:ascii="Century" w:hAnsi="Century" w:cs="Miriam"/>
          <w:b/>
          <w:spacing w:val="0"/>
          <w:szCs w:val="24"/>
          <w:u w:val="single"/>
          <w:rtl/>
        </w:rPr>
        <w:t>:</w:t>
      </w:r>
    </w:p>
    <w:p w14:paraId="3048A9C0" w14:textId="77777777" w:rsidR="00672A23" w:rsidRDefault="00672A23" w:rsidP="00632621">
      <w:pPr>
        <w:pStyle w:val="Ruller41"/>
        <w:keepNext/>
        <w:keepLines/>
        <w:rPr>
          <w:rtl/>
        </w:rPr>
      </w:pPr>
    </w:p>
    <w:p w14:paraId="6EA50B08" w14:textId="77777777" w:rsidR="00672A23" w:rsidRDefault="00000000" w:rsidP="00632621">
      <w:pPr>
        <w:pStyle w:val="Ruller41"/>
        <w:keepNext/>
        <w:keepLines/>
        <w:rPr>
          <w:rtl/>
        </w:rPr>
      </w:pPr>
      <w:r>
        <w:rPr>
          <w:rtl/>
        </w:rPr>
        <w:tab/>
      </w:r>
      <w:r>
        <w:rPr>
          <w:rFonts w:hint="cs"/>
          <w:rtl/>
        </w:rPr>
        <w:t>אני מסכים.</w:t>
      </w:r>
    </w:p>
    <w:p w14:paraId="4CA51B68" w14:textId="77777777" w:rsidR="00672A23" w:rsidRDefault="00672A23" w:rsidP="00632621">
      <w:pPr>
        <w:pStyle w:val="Ruller41"/>
        <w:keepNext/>
        <w:keepLines/>
        <w:rPr>
          <w:rtl/>
        </w:rPr>
      </w:pPr>
    </w:p>
    <w:tbl>
      <w:tblPr>
        <w:bidiVisual/>
        <w:tblW w:w="0" w:type="auto"/>
        <w:tblLook w:val="04A0" w:firstRow="1" w:lastRow="0" w:firstColumn="1" w:lastColumn="0" w:noHBand="0" w:noVBand="1"/>
      </w:tblPr>
      <w:tblGrid>
        <w:gridCol w:w="2765"/>
        <w:gridCol w:w="2766"/>
        <w:gridCol w:w="2766"/>
      </w:tblGrid>
      <w:tr w:rsidR="00750D41" w14:paraId="5DA7F0BD" w14:textId="77777777" w:rsidTr="00BD1C73">
        <w:tc>
          <w:tcPr>
            <w:tcW w:w="2765" w:type="dxa"/>
            <w:shd w:val="clear" w:color="auto" w:fill="auto"/>
          </w:tcPr>
          <w:p w14:paraId="75193507" w14:textId="77777777" w:rsidR="00672A23" w:rsidRPr="00BD1C73" w:rsidRDefault="00672A23" w:rsidP="00BD1C73">
            <w:pPr>
              <w:keepNext/>
              <w:keepLines/>
              <w:spacing w:line="360" w:lineRule="auto"/>
              <w:jc w:val="center"/>
              <w:rPr>
                <w:rFonts w:ascii="FrankRuehl" w:hAnsi="FrankRuehl" w:cs="FrankRuehl"/>
                <w:sz w:val="28"/>
                <w:szCs w:val="28"/>
                <w:rtl/>
              </w:rPr>
            </w:pPr>
          </w:p>
        </w:tc>
        <w:tc>
          <w:tcPr>
            <w:tcW w:w="2766" w:type="dxa"/>
            <w:shd w:val="clear" w:color="auto" w:fill="auto"/>
          </w:tcPr>
          <w:p w14:paraId="63143BFC" w14:textId="77777777" w:rsidR="00672A23" w:rsidRPr="00BD1C73" w:rsidRDefault="00672A23" w:rsidP="00BD1C73">
            <w:pPr>
              <w:keepNext/>
              <w:keepLines/>
              <w:spacing w:line="360" w:lineRule="auto"/>
              <w:jc w:val="center"/>
              <w:rPr>
                <w:rFonts w:ascii="FrankRuehl" w:hAnsi="FrankRuehl" w:cs="FrankRuehl"/>
                <w:sz w:val="28"/>
                <w:szCs w:val="28"/>
                <w:rtl/>
              </w:rPr>
            </w:pPr>
          </w:p>
        </w:tc>
        <w:tc>
          <w:tcPr>
            <w:tcW w:w="2766" w:type="dxa"/>
            <w:shd w:val="clear" w:color="auto" w:fill="auto"/>
          </w:tcPr>
          <w:p w14:paraId="1A4E28DC" w14:textId="77777777" w:rsidR="00BD1C73" w:rsidRPr="00BD1C73" w:rsidRDefault="00BD1C73" w:rsidP="00FA55F6">
            <w:pPr>
              <w:rPr>
                <w:rFonts w:ascii="Courier New" w:hAnsi="Courier New"/>
              </w:rPr>
            </w:pPr>
          </w:p>
          <w:p w14:paraId="4382527E" w14:textId="77777777" w:rsidR="00BD1C73" w:rsidRPr="00BD1C73" w:rsidRDefault="00000000" w:rsidP="00BD1C73">
            <w:pPr>
              <w:jc w:val="center"/>
              <w:rPr>
                <w:rFonts w:ascii="FrankRuehl" w:hAnsi="FrankRuehl" w:cs="FrankRuehl"/>
                <w:spacing w:val="10"/>
                <w:sz w:val="28"/>
                <w:szCs w:val="28"/>
                <w:rtl/>
              </w:rPr>
            </w:pPr>
            <w:r w:rsidRPr="00BD1C73">
              <w:rPr>
                <w:rFonts w:ascii="FrankRuehl" w:hAnsi="FrankRuehl" w:cs="FrankRuehl"/>
                <w:spacing w:val="10"/>
                <w:sz w:val="28"/>
                <w:szCs w:val="28"/>
                <w:rtl/>
              </w:rPr>
              <w:t>יצחק עמית</w:t>
            </w:r>
          </w:p>
          <w:p w14:paraId="79A38C0E" w14:textId="77777777" w:rsidR="00BD1C73" w:rsidRPr="00BD1C73" w:rsidRDefault="00000000" w:rsidP="00FA55F6">
            <w:pPr>
              <w:rPr>
                <w:rFonts w:ascii="Courier New" w:hAnsi="Courier New"/>
              </w:rPr>
            </w:pPr>
            <w:r w:rsidRPr="00BD1C73">
              <w:rPr>
                <w:rFonts w:ascii="FrankRuehl" w:hAnsi="FrankRuehl" w:cs="FrankRuehl"/>
                <w:spacing w:val="10"/>
                <w:sz w:val="28"/>
                <w:szCs w:val="28"/>
                <w:rtl/>
              </w:rPr>
              <w:t>שופט</w:t>
            </w:r>
          </w:p>
          <w:p w14:paraId="1240DE97" w14:textId="77777777" w:rsidR="00672A23" w:rsidRPr="00BD1C73" w:rsidRDefault="00672A23" w:rsidP="00BD1C73">
            <w:pPr>
              <w:keepNext/>
              <w:keepLines/>
              <w:spacing w:line="360" w:lineRule="auto"/>
              <w:rPr>
                <w:rFonts w:ascii="FrankRuehl" w:hAnsi="FrankRuehl" w:cs="FrankRuehl"/>
                <w:sz w:val="28"/>
                <w:szCs w:val="28"/>
                <w:rtl/>
              </w:rPr>
            </w:pPr>
          </w:p>
        </w:tc>
      </w:tr>
    </w:tbl>
    <w:p w14:paraId="0ECB711C" w14:textId="77777777" w:rsidR="00672A23" w:rsidRDefault="00672A23" w:rsidP="00672A23">
      <w:pPr>
        <w:pStyle w:val="Ruller41"/>
        <w:rPr>
          <w:rtl/>
        </w:rPr>
      </w:pPr>
    </w:p>
    <w:p w14:paraId="2DBEE89C" w14:textId="77777777" w:rsidR="002B3BE7" w:rsidRDefault="002B3BE7" w:rsidP="00672A23">
      <w:pPr>
        <w:pStyle w:val="Ruller4"/>
        <w:numPr>
          <w:ilvl w:val="0"/>
          <w:numId w:val="0"/>
        </w:numPr>
        <w:rPr>
          <w:rFonts w:ascii="Century" w:hAnsi="Century" w:cs="Miriam"/>
          <w:b/>
          <w:spacing w:val="0"/>
          <w:szCs w:val="24"/>
          <w:u w:val="single"/>
          <w:rtl/>
        </w:rPr>
      </w:pPr>
    </w:p>
    <w:p w14:paraId="0FEE6D4F" w14:textId="77777777" w:rsidR="00672A23" w:rsidRDefault="00000000" w:rsidP="00672A23">
      <w:pPr>
        <w:pStyle w:val="Ruller4"/>
        <w:numPr>
          <w:ilvl w:val="0"/>
          <w:numId w:val="0"/>
        </w:numPr>
        <w:rPr>
          <w:rFonts w:ascii="Century" w:hAnsi="Century" w:cs="Miriam"/>
          <w:b/>
          <w:spacing w:val="0"/>
          <w:szCs w:val="24"/>
          <w:u w:val="single"/>
          <w:rtl/>
        </w:rPr>
      </w:pPr>
      <w:r w:rsidRPr="00672A23">
        <w:rPr>
          <w:rFonts w:ascii="Century" w:hAnsi="Century" w:cs="Miriam"/>
          <w:b/>
          <w:spacing w:val="0"/>
          <w:szCs w:val="24"/>
          <w:u w:val="single"/>
          <w:rtl/>
        </w:rPr>
        <w:t>השופט</w:t>
      </w:r>
      <w:r w:rsidR="00CC1BAD">
        <w:rPr>
          <w:rFonts w:ascii="Century" w:hAnsi="Century" w:cs="Miriam" w:hint="cs"/>
          <w:b/>
          <w:spacing w:val="0"/>
          <w:szCs w:val="24"/>
          <w:u w:val="single"/>
          <w:rtl/>
        </w:rPr>
        <w:t>ת</w:t>
      </w:r>
      <w:r w:rsidRPr="00672A23">
        <w:rPr>
          <w:rFonts w:ascii="Century" w:hAnsi="Century" w:cs="Miriam"/>
          <w:b/>
          <w:spacing w:val="0"/>
          <w:szCs w:val="24"/>
          <w:u w:val="single"/>
          <w:rtl/>
        </w:rPr>
        <w:t xml:space="preserve"> </w:t>
      </w:r>
      <w:r>
        <w:rPr>
          <w:rFonts w:ascii="Century" w:hAnsi="Century" w:cs="Miriam" w:hint="cs"/>
          <w:b/>
          <w:spacing w:val="0"/>
          <w:szCs w:val="24"/>
          <w:u w:val="single"/>
          <w:rtl/>
        </w:rPr>
        <w:t>דפנה ברק-ארז</w:t>
      </w:r>
      <w:r w:rsidRPr="00672A23">
        <w:rPr>
          <w:rFonts w:ascii="Century" w:hAnsi="Century" w:cs="Miriam"/>
          <w:b/>
          <w:spacing w:val="0"/>
          <w:szCs w:val="24"/>
          <w:u w:val="single"/>
          <w:rtl/>
        </w:rPr>
        <w:t>:</w:t>
      </w:r>
    </w:p>
    <w:p w14:paraId="48E431DC" w14:textId="77777777" w:rsidR="00672A23" w:rsidRDefault="00672A23" w:rsidP="00672A23">
      <w:pPr>
        <w:pStyle w:val="Ruller41"/>
        <w:rPr>
          <w:rtl/>
        </w:rPr>
      </w:pPr>
    </w:p>
    <w:p w14:paraId="7559ADAB" w14:textId="77777777" w:rsidR="00672A23" w:rsidRDefault="00000000" w:rsidP="00672A23">
      <w:pPr>
        <w:pStyle w:val="Ruller41"/>
        <w:rPr>
          <w:rtl/>
        </w:rPr>
      </w:pPr>
      <w:r>
        <w:rPr>
          <w:rtl/>
        </w:rPr>
        <w:tab/>
      </w:r>
      <w:r>
        <w:rPr>
          <w:rFonts w:hint="cs"/>
          <w:rtl/>
        </w:rPr>
        <w:t>אני מסכימה.</w:t>
      </w:r>
    </w:p>
    <w:p w14:paraId="0C6876C8" w14:textId="77777777" w:rsidR="00672A23" w:rsidRDefault="00672A23" w:rsidP="00672A23">
      <w:pPr>
        <w:pStyle w:val="Ruller41"/>
        <w:rPr>
          <w:rtl/>
        </w:rPr>
      </w:pPr>
    </w:p>
    <w:p w14:paraId="1EA17B4C" w14:textId="77777777" w:rsidR="002B3BE7" w:rsidRDefault="002B3BE7" w:rsidP="00672A23">
      <w:pPr>
        <w:pStyle w:val="Ruller41"/>
        <w:rPr>
          <w:rtl/>
        </w:rPr>
      </w:pPr>
    </w:p>
    <w:tbl>
      <w:tblPr>
        <w:bidiVisual/>
        <w:tblW w:w="0" w:type="auto"/>
        <w:tblLook w:val="04A0" w:firstRow="1" w:lastRow="0" w:firstColumn="1" w:lastColumn="0" w:noHBand="0" w:noVBand="1"/>
      </w:tblPr>
      <w:tblGrid>
        <w:gridCol w:w="2765"/>
        <w:gridCol w:w="2766"/>
        <w:gridCol w:w="2766"/>
      </w:tblGrid>
      <w:tr w:rsidR="00750D41" w14:paraId="2BB1416C" w14:textId="77777777" w:rsidTr="00BD1C73">
        <w:tc>
          <w:tcPr>
            <w:tcW w:w="2765" w:type="dxa"/>
            <w:shd w:val="clear" w:color="auto" w:fill="auto"/>
          </w:tcPr>
          <w:p w14:paraId="3403E5A2" w14:textId="77777777" w:rsidR="00672A23" w:rsidRPr="00BD1C73" w:rsidRDefault="00672A23" w:rsidP="00BD1C73">
            <w:pPr>
              <w:spacing w:line="360" w:lineRule="auto"/>
              <w:jc w:val="center"/>
              <w:rPr>
                <w:rFonts w:ascii="FrankRuehl" w:hAnsi="FrankRuehl" w:cs="FrankRuehl"/>
                <w:sz w:val="28"/>
                <w:szCs w:val="28"/>
                <w:rtl/>
              </w:rPr>
            </w:pPr>
          </w:p>
        </w:tc>
        <w:tc>
          <w:tcPr>
            <w:tcW w:w="2766" w:type="dxa"/>
            <w:shd w:val="clear" w:color="auto" w:fill="auto"/>
          </w:tcPr>
          <w:p w14:paraId="148D3539" w14:textId="77777777" w:rsidR="00672A23" w:rsidRPr="00BD1C73" w:rsidRDefault="00672A23" w:rsidP="00BD1C73">
            <w:pPr>
              <w:spacing w:line="360" w:lineRule="auto"/>
              <w:jc w:val="center"/>
              <w:rPr>
                <w:rFonts w:ascii="FrankRuehl" w:hAnsi="FrankRuehl" w:cs="FrankRuehl"/>
                <w:sz w:val="28"/>
                <w:szCs w:val="28"/>
                <w:rtl/>
              </w:rPr>
            </w:pPr>
          </w:p>
        </w:tc>
        <w:tc>
          <w:tcPr>
            <w:tcW w:w="2766" w:type="dxa"/>
            <w:shd w:val="clear" w:color="auto" w:fill="auto"/>
          </w:tcPr>
          <w:p w14:paraId="083F761F" w14:textId="77777777" w:rsidR="00BD1C73" w:rsidRPr="00BD1C73" w:rsidRDefault="00BD1C73" w:rsidP="00FA55F6">
            <w:pPr>
              <w:rPr>
                <w:rFonts w:ascii="Courier New" w:hAnsi="Courier New"/>
                <w:rtl/>
              </w:rPr>
            </w:pPr>
          </w:p>
          <w:p w14:paraId="05A32F66" w14:textId="77777777" w:rsidR="00BD1C73" w:rsidRPr="00BD1C73" w:rsidRDefault="00000000" w:rsidP="00BD1C73">
            <w:pPr>
              <w:pStyle w:val="31"/>
              <w:spacing w:line="240" w:lineRule="auto"/>
              <w:jc w:val="center"/>
              <w:rPr>
                <w:rFonts w:cs="FrankRuehl"/>
                <w:b w:val="0"/>
                <w:bCs w:val="0"/>
                <w:spacing w:val="10"/>
                <w:sz w:val="28"/>
                <w:szCs w:val="28"/>
                <w:rtl/>
              </w:rPr>
            </w:pPr>
            <w:r w:rsidRPr="00BD1C73">
              <w:rPr>
                <w:rFonts w:cs="FrankRuehl" w:hint="cs"/>
                <w:b w:val="0"/>
                <w:bCs w:val="0"/>
                <w:spacing w:val="10"/>
                <w:sz w:val="28"/>
                <w:szCs w:val="28"/>
                <w:rtl/>
              </w:rPr>
              <w:t xml:space="preserve">דפנה ברק-ארז </w:t>
            </w:r>
          </w:p>
          <w:p w14:paraId="605E0F01" w14:textId="77777777" w:rsidR="00BD1C73" w:rsidRPr="00BD1C73" w:rsidRDefault="00000000" w:rsidP="00BD1C73">
            <w:pPr>
              <w:pStyle w:val="31"/>
              <w:spacing w:line="240" w:lineRule="auto"/>
              <w:jc w:val="left"/>
              <w:rPr>
                <w:rFonts w:cs="FrankRuehl"/>
                <w:b w:val="0"/>
                <w:bCs w:val="0"/>
                <w:spacing w:val="10"/>
                <w:sz w:val="28"/>
                <w:szCs w:val="28"/>
                <w:rtl/>
              </w:rPr>
            </w:pPr>
            <w:r w:rsidRPr="00BD1C73">
              <w:rPr>
                <w:rFonts w:cs="FrankRuehl"/>
                <w:b w:val="0"/>
                <w:bCs w:val="0"/>
                <w:spacing w:val="10"/>
                <w:sz w:val="28"/>
                <w:szCs w:val="28"/>
                <w:rtl/>
              </w:rPr>
              <w:t>שופטת</w:t>
            </w:r>
          </w:p>
          <w:p w14:paraId="137286FD" w14:textId="77777777" w:rsidR="00672A23" w:rsidRPr="00BD1C73" w:rsidRDefault="00672A23" w:rsidP="00BD1C73">
            <w:pPr>
              <w:spacing w:line="360" w:lineRule="auto"/>
              <w:rPr>
                <w:rFonts w:ascii="FrankRuehl" w:hAnsi="FrankRuehl" w:cs="FrankRuehl"/>
                <w:sz w:val="28"/>
                <w:szCs w:val="28"/>
                <w:rtl/>
              </w:rPr>
            </w:pPr>
          </w:p>
        </w:tc>
      </w:tr>
    </w:tbl>
    <w:p w14:paraId="4A2797D6" w14:textId="77777777" w:rsidR="00694556" w:rsidRPr="00FB7A67" w:rsidRDefault="00694556">
      <w:pPr>
        <w:spacing w:line="360" w:lineRule="auto"/>
        <w:jc w:val="both"/>
        <w:rPr>
          <w:rFonts w:ascii="FrankRuehl" w:hAnsi="FrankRuehl" w:cs="FrankRuehl"/>
          <w:spacing w:val="10"/>
          <w:sz w:val="28"/>
          <w:szCs w:val="28"/>
          <w:rtl/>
        </w:rPr>
      </w:pPr>
    </w:p>
    <w:p w14:paraId="6BF8D125" w14:textId="77777777" w:rsidR="002B3BE7" w:rsidRDefault="002B3BE7" w:rsidP="00BF76BE">
      <w:pPr>
        <w:spacing w:line="360" w:lineRule="auto"/>
        <w:ind w:firstLine="720"/>
        <w:jc w:val="both"/>
        <w:rPr>
          <w:rFonts w:ascii="FrankRuehl" w:hAnsi="FrankRuehl" w:cs="FrankRuehl"/>
          <w:spacing w:val="10"/>
          <w:sz w:val="28"/>
          <w:szCs w:val="28"/>
          <w:rtl/>
        </w:rPr>
      </w:pPr>
    </w:p>
    <w:p w14:paraId="437C6191" w14:textId="77777777" w:rsidR="002B3BE7" w:rsidRDefault="00000000" w:rsidP="002B3BE7">
      <w:pPr>
        <w:spacing w:line="360" w:lineRule="auto"/>
        <w:ind w:firstLine="720"/>
        <w:jc w:val="both"/>
        <w:rPr>
          <w:rFonts w:ascii="FrankRuehl" w:hAnsi="FrankRuehl" w:cs="FrankRuehl"/>
          <w:spacing w:val="10"/>
          <w:sz w:val="28"/>
          <w:szCs w:val="28"/>
          <w:rtl/>
        </w:rPr>
      </w:pPr>
      <w:r>
        <w:rPr>
          <w:rFonts w:ascii="FrankRuehl" w:hAnsi="FrankRuehl" w:cs="FrankRuehl" w:hint="cs"/>
          <w:spacing w:val="10"/>
          <w:sz w:val="28"/>
          <w:szCs w:val="28"/>
          <w:rtl/>
        </w:rPr>
        <w:t xml:space="preserve">הוחלט כאמור בפסק דינו של השופט </w:t>
      </w:r>
      <w:r w:rsidRPr="002B3D5F">
        <w:rPr>
          <w:rFonts w:ascii="Century" w:hAnsi="Century" w:cs="Miriam" w:hint="cs"/>
          <w:b/>
          <w:sz w:val="22"/>
          <w:rtl/>
        </w:rPr>
        <w:t>דוד מינץ</w:t>
      </w:r>
      <w:r>
        <w:rPr>
          <w:rFonts w:ascii="FrankRuehl" w:hAnsi="FrankRuehl" w:cs="FrankRuehl" w:hint="cs"/>
          <w:spacing w:val="10"/>
          <w:sz w:val="28"/>
          <w:szCs w:val="28"/>
          <w:rtl/>
        </w:rPr>
        <w:t>.</w:t>
      </w:r>
    </w:p>
    <w:p w14:paraId="15B7CB86" w14:textId="77777777" w:rsidR="002B3BE7" w:rsidRDefault="002B3BE7" w:rsidP="00BF76BE">
      <w:pPr>
        <w:spacing w:line="360" w:lineRule="auto"/>
        <w:ind w:firstLine="720"/>
        <w:jc w:val="both"/>
        <w:rPr>
          <w:rFonts w:ascii="FrankRuehl" w:hAnsi="FrankRuehl" w:cs="FrankRuehl"/>
          <w:spacing w:val="10"/>
          <w:sz w:val="28"/>
          <w:szCs w:val="28"/>
          <w:rtl/>
        </w:rPr>
      </w:pPr>
    </w:p>
    <w:p w14:paraId="470790F9" w14:textId="77777777" w:rsidR="002B3BE7" w:rsidRDefault="002B3BE7" w:rsidP="00BF76BE">
      <w:pPr>
        <w:spacing w:line="360" w:lineRule="auto"/>
        <w:ind w:firstLine="720"/>
        <w:jc w:val="both"/>
        <w:rPr>
          <w:rFonts w:ascii="FrankRuehl" w:hAnsi="FrankRuehl" w:cs="FrankRuehl"/>
          <w:spacing w:val="10"/>
          <w:sz w:val="28"/>
          <w:szCs w:val="28"/>
          <w:rtl/>
        </w:rPr>
      </w:pPr>
    </w:p>
    <w:p w14:paraId="08516A44" w14:textId="77777777" w:rsidR="00C00FB5" w:rsidRDefault="00BD1C73" w:rsidP="001B7E11">
      <w:pPr>
        <w:spacing w:line="360" w:lineRule="auto"/>
        <w:jc w:val="both"/>
        <w:rPr>
          <w:rFonts w:ascii="FrankRuehl" w:hAnsi="FrankRuehl" w:cs="FrankRuehl"/>
          <w:sz w:val="28"/>
          <w:szCs w:val="28"/>
          <w:rtl/>
        </w:rPr>
      </w:pPr>
      <w:bookmarkStart w:id="12" w:name="Nitan"/>
      <w:r>
        <w:rPr>
          <w:rFonts w:ascii="FrankRuehl" w:hAnsi="FrankRuehl" w:cs="FrankRuehl"/>
          <w:spacing w:val="10"/>
          <w:sz w:val="28"/>
          <w:szCs w:val="28"/>
          <w:rtl/>
        </w:rPr>
        <w:t xml:space="preserve">ניתן היום, ט"ו אלול תשפ"ד (18 ספטמבר 2024). </w:t>
      </w:r>
      <w:bookmarkEnd w:id="12"/>
    </w:p>
    <w:p w14:paraId="366662F5" w14:textId="77777777" w:rsidR="00AB0803" w:rsidRPr="00BD1C73" w:rsidRDefault="00BD1C73" w:rsidP="001B7E11">
      <w:pPr>
        <w:spacing w:line="360" w:lineRule="auto"/>
        <w:jc w:val="both"/>
        <w:rPr>
          <w:rFonts w:ascii="FrankRuehl" w:hAnsi="FrankRuehl" w:cs="FrankRuehl"/>
          <w:color w:val="FFFFFF"/>
          <w:sz w:val="2"/>
          <w:szCs w:val="2"/>
          <w:rtl/>
        </w:rPr>
      </w:pPr>
      <w:r w:rsidRPr="00BD1C73">
        <w:rPr>
          <w:rFonts w:ascii="FrankRuehl" w:hAnsi="FrankRuehl" w:cs="FrankRuehl"/>
          <w:color w:val="FFFFFF"/>
          <w:sz w:val="2"/>
          <w:szCs w:val="2"/>
          <w:rtl/>
        </w:rPr>
        <w:t>5129371</w:t>
      </w:r>
    </w:p>
    <w:tbl>
      <w:tblPr>
        <w:bidiVisual/>
        <w:tblW w:w="0" w:type="auto"/>
        <w:tblLook w:val="04A0" w:firstRow="1" w:lastRow="0" w:firstColumn="1" w:lastColumn="0" w:noHBand="0" w:noVBand="1"/>
      </w:tblPr>
      <w:tblGrid>
        <w:gridCol w:w="2765"/>
        <w:gridCol w:w="2766"/>
        <w:gridCol w:w="2766"/>
      </w:tblGrid>
      <w:tr w:rsidR="00750D41" w14:paraId="70AB6379" w14:textId="77777777" w:rsidTr="00BD1C73">
        <w:tc>
          <w:tcPr>
            <w:tcW w:w="2765" w:type="dxa"/>
            <w:shd w:val="clear" w:color="auto" w:fill="auto"/>
          </w:tcPr>
          <w:p w14:paraId="10EF29F2" w14:textId="77777777" w:rsidR="00BD1C73" w:rsidRPr="00BD1C73" w:rsidRDefault="00000000" w:rsidP="009659A5">
            <w:pPr>
              <w:jc w:val="center"/>
              <w:rPr>
                <w:rFonts w:ascii="Courier New" w:hAnsi="Courier New"/>
                <w:color w:val="FFFFFF"/>
                <w:sz w:val="2"/>
                <w:szCs w:val="2"/>
              </w:rPr>
            </w:pPr>
            <w:r w:rsidRPr="00BD1C73">
              <w:rPr>
                <w:rFonts w:ascii="Courier New" w:hAnsi="Courier New"/>
                <w:color w:val="FFFFFF"/>
                <w:sz w:val="2"/>
                <w:szCs w:val="2"/>
                <w:rtl/>
              </w:rPr>
              <w:t>54678313</w:t>
            </w:r>
          </w:p>
          <w:p w14:paraId="4228F3B1" w14:textId="77777777" w:rsidR="00BD1C73" w:rsidRPr="00BD1C73" w:rsidRDefault="00000000" w:rsidP="009659A5">
            <w:pPr>
              <w:jc w:val="center"/>
              <w:rPr>
                <w:rFonts w:ascii="FrankRuehl" w:hAnsi="FrankRuehl" w:cs="FrankRuehl"/>
                <w:spacing w:val="10"/>
                <w:sz w:val="28"/>
                <w:szCs w:val="28"/>
                <w:rtl/>
              </w:rPr>
            </w:pPr>
            <w:r w:rsidRPr="00BD1C73">
              <w:rPr>
                <w:rFonts w:ascii="FrankRuehl" w:hAnsi="FrankRuehl" w:cs="FrankRuehl"/>
                <w:spacing w:val="10"/>
                <w:sz w:val="28"/>
                <w:szCs w:val="28"/>
                <w:rtl/>
              </w:rPr>
              <w:t>יצחק עמית</w:t>
            </w:r>
          </w:p>
          <w:p w14:paraId="3819B1C8" w14:textId="77777777" w:rsidR="00BD1C73" w:rsidRPr="00BD1C73" w:rsidRDefault="00000000" w:rsidP="009659A5">
            <w:pPr>
              <w:jc w:val="center"/>
              <w:rPr>
                <w:rFonts w:ascii="Courier New" w:hAnsi="Courier New"/>
              </w:rPr>
            </w:pPr>
            <w:r w:rsidRPr="00BD1C73">
              <w:rPr>
                <w:rFonts w:ascii="FrankRuehl" w:hAnsi="FrankRuehl" w:cs="FrankRuehl"/>
                <w:spacing w:val="10"/>
                <w:sz w:val="28"/>
                <w:szCs w:val="28"/>
                <w:rtl/>
              </w:rPr>
              <w:t>שופט</w:t>
            </w:r>
          </w:p>
          <w:p w14:paraId="4CC60F63" w14:textId="77777777" w:rsidR="00E90C45" w:rsidRPr="00BD1C73" w:rsidRDefault="00E90C45" w:rsidP="009659A5">
            <w:pPr>
              <w:spacing w:line="360" w:lineRule="auto"/>
              <w:jc w:val="center"/>
              <w:rPr>
                <w:rFonts w:ascii="FrankRuehl" w:hAnsi="FrankRuehl" w:cs="FrankRuehl"/>
                <w:sz w:val="28"/>
                <w:szCs w:val="28"/>
                <w:rtl/>
              </w:rPr>
            </w:pPr>
          </w:p>
        </w:tc>
        <w:tc>
          <w:tcPr>
            <w:tcW w:w="2766" w:type="dxa"/>
            <w:shd w:val="clear" w:color="auto" w:fill="auto"/>
          </w:tcPr>
          <w:p w14:paraId="6549189D" w14:textId="77777777" w:rsidR="00BD1C73" w:rsidRPr="00BD1C73" w:rsidRDefault="00BD1C73" w:rsidP="009659A5">
            <w:pPr>
              <w:jc w:val="center"/>
              <w:rPr>
                <w:rFonts w:ascii="Courier New" w:hAnsi="Courier New"/>
                <w:rtl/>
              </w:rPr>
            </w:pPr>
          </w:p>
          <w:p w14:paraId="40421C19" w14:textId="77777777" w:rsidR="00BD1C73" w:rsidRPr="00BD1C73" w:rsidRDefault="00000000" w:rsidP="009659A5">
            <w:pPr>
              <w:pStyle w:val="31"/>
              <w:spacing w:line="240" w:lineRule="auto"/>
              <w:jc w:val="center"/>
              <w:rPr>
                <w:rFonts w:cs="FrankRuehl"/>
                <w:b w:val="0"/>
                <w:bCs w:val="0"/>
                <w:spacing w:val="10"/>
                <w:sz w:val="28"/>
                <w:szCs w:val="28"/>
                <w:rtl/>
              </w:rPr>
            </w:pPr>
            <w:r w:rsidRPr="00BD1C73">
              <w:rPr>
                <w:rFonts w:cs="FrankRuehl" w:hint="cs"/>
                <w:b w:val="0"/>
                <w:bCs w:val="0"/>
                <w:spacing w:val="10"/>
                <w:sz w:val="28"/>
                <w:szCs w:val="28"/>
                <w:rtl/>
              </w:rPr>
              <w:t>דפנה ברק-ארז</w:t>
            </w:r>
          </w:p>
          <w:p w14:paraId="433CB57C" w14:textId="77777777" w:rsidR="00BD1C73" w:rsidRPr="00BD1C73" w:rsidRDefault="00000000" w:rsidP="009659A5">
            <w:pPr>
              <w:pStyle w:val="31"/>
              <w:spacing w:line="240" w:lineRule="auto"/>
              <w:jc w:val="center"/>
              <w:rPr>
                <w:rFonts w:cs="FrankRuehl"/>
                <w:b w:val="0"/>
                <w:bCs w:val="0"/>
                <w:spacing w:val="10"/>
                <w:sz w:val="28"/>
                <w:szCs w:val="28"/>
                <w:rtl/>
              </w:rPr>
            </w:pPr>
            <w:r w:rsidRPr="00BD1C73">
              <w:rPr>
                <w:rFonts w:cs="FrankRuehl"/>
                <w:b w:val="0"/>
                <w:bCs w:val="0"/>
                <w:spacing w:val="10"/>
                <w:sz w:val="28"/>
                <w:szCs w:val="28"/>
                <w:rtl/>
              </w:rPr>
              <w:t>שופטת</w:t>
            </w:r>
          </w:p>
          <w:p w14:paraId="0B0B3E0D" w14:textId="77777777" w:rsidR="00E90C45" w:rsidRPr="00BD1C73" w:rsidRDefault="00E90C45" w:rsidP="009659A5">
            <w:pPr>
              <w:spacing w:line="360" w:lineRule="auto"/>
              <w:jc w:val="center"/>
              <w:rPr>
                <w:rFonts w:ascii="FrankRuehl" w:hAnsi="FrankRuehl" w:cs="FrankRuehl"/>
                <w:sz w:val="28"/>
                <w:szCs w:val="28"/>
                <w:rtl/>
              </w:rPr>
            </w:pPr>
          </w:p>
        </w:tc>
        <w:tc>
          <w:tcPr>
            <w:tcW w:w="2766" w:type="dxa"/>
            <w:shd w:val="clear" w:color="auto" w:fill="auto"/>
          </w:tcPr>
          <w:p w14:paraId="495830B2" w14:textId="77777777" w:rsidR="00BD1C73" w:rsidRPr="00BD1C73" w:rsidRDefault="00BD1C73" w:rsidP="009659A5">
            <w:pPr>
              <w:jc w:val="center"/>
              <w:rPr>
                <w:rFonts w:ascii="Courier New" w:hAnsi="Courier New"/>
                <w:rtl/>
              </w:rPr>
            </w:pPr>
          </w:p>
          <w:p w14:paraId="5750EA70" w14:textId="77777777" w:rsidR="00BD1C73" w:rsidRPr="00BD1C73" w:rsidRDefault="00000000" w:rsidP="009659A5">
            <w:pPr>
              <w:pStyle w:val="31"/>
              <w:spacing w:line="240" w:lineRule="auto"/>
              <w:jc w:val="center"/>
              <w:rPr>
                <w:rFonts w:cs="FrankRuehl"/>
                <w:b w:val="0"/>
                <w:bCs w:val="0"/>
                <w:spacing w:val="10"/>
                <w:sz w:val="28"/>
                <w:szCs w:val="28"/>
                <w:rtl/>
              </w:rPr>
            </w:pPr>
            <w:r w:rsidRPr="00BD1C73">
              <w:rPr>
                <w:rFonts w:cs="FrankRuehl" w:hint="cs"/>
                <w:b w:val="0"/>
                <w:bCs w:val="0"/>
                <w:spacing w:val="10"/>
                <w:sz w:val="28"/>
                <w:szCs w:val="28"/>
                <w:rtl/>
              </w:rPr>
              <w:t>דוד מינץ</w:t>
            </w:r>
          </w:p>
          <w:p w14:paraId="563EB95B" w14:textId="77777777" w:rsidR="00BD1C73" w:rsidRPr="00BD1C73" w:rsidRDefault="00000000" w:rsidP="009659A5">
            <w:pPr>
              <w:pStyle w:val="31"/>
              <w:spacing w:line="240" w:lineRule="auto"/>
              <w:jc w:val="center"/>
              <w:rPr>
                <w:rFonts w:cs="FrankRuehl"/>
                <w:b w:val="0"/>
                <w:bCs w:val="0"/>
                <w:spacing w:val="10"/>
                <w:sz w:val="28"/>
                <w:szCs w:val="28"/>
                <w:rtl/>
              </w:rPr>
            </w:pPr>
            <w:r w:rsidRPr="00BD1C73">
              <w:rPr>
                <w:rFonts w:cs="FrankRuehl" w:hint="cs"/>
                <w:b w:val="0"/>
                <w:bCs w:val="0"/>
                <w:spacing w:val="10"/>
                <w:sz w:val="28"/>
                <w:szCs w:val="28"/>
                <w:rtl/>
              </w:rPr>
              <w:t>שופט</w:t>
            </w:r>
          </w:p>
          <w:p w14:paraId="3F59BCC3" w14:textId="77777777" w:rsidR="00E90C45" w:rsidRPr="00BD1C73" w:rsidRDefault="00E90C45" w:rsidP="009659A5">
            <w:pPr>
              <w:spacing w:line="360" w:lineRule="auto"/>
              <w:jc w:val="center"/>
              <w:rPr>
                <w:rFonts w:ascii="FrankRuehl" w:hAnsi="FrankRuehl" w:cs="FrankRuehl"/>
                <w:sz w:val="28"/>
                <w:szCs w:val="28"/>
                <w:rtl/>
              </w:rPr>
            </w:pPr>
          </w:p>
        </w:tc>
      </w:tr>
    </w:tbl>
    <w:p w14:paraId="7A14029A" w14:textId="77777777" w:rsidR="00C43648" w:rsidRPr="00D10EBD" w:rsidRDefault="00D10EBD" w:rsidP="00BD6531">
      <w:pPr>
        <w:tabs>
          <w:tab w:val="left" w:pos="2553"/>
        </w:tabs>
        <w:ind w:left="5040"/>
        <w:rPr>
          <w:rFonts w:ascii="FrankRuehl" w:hAnsi="FrankRuehl" w:cs="FrankRuehl"/>
          <w:color w:val="FFFFFF"/>
          <w:sz w:val="2"/>
          <w:szCs w:val="2"/>
          <w:rtl/>
        </w:rPr>
      </w:pPr>
      <w:r w:rsidRPr="00D10EBD">
        <w:rPr>
          <w:rFonts w:ascii="FrankRuehl" w:hAnsi="FrankRuehl" w:cs="FrankRuehl"/>
          <w:color w:val="FFFFFF"/>
          <w:sz w:val="2"/>
          <w:szCs w:val="2"/>
          <w:rtl/>
        </w:rPr>
        <w:t>5129371</w:t>
      </w:r>
    </w:p>
    <w:p w14:paraId="6CB4D2A4" w14:textId="77777777" w:rsidR="00694556" w:rsidRPr="00D10EBD" w:rsidRDefault="00D10EBD" w:rsidP="00BD1C73">
      <w:pPr>
        <w:keepNext/>
        <w:tabs>
          <w:tab w:val="left" w:pos="2553"/>
        </w:tabs>
        <w:rPr>
          <w:rFonts w:ascii="David" w:hAnsi="David"/>
          <w:color w:val="FFFFFF"/>
          <w:sz w:val="2"/>
          <w:szCs w:val="2"/>
          <w:rtl/>
        </w:rPr>
      </w:pPr>
      <w:r w:rsidRPr="00D10EBD">
        <w:rPr>
          <w:rFonts w:ascii="FrankRuehl" w:hAnsi="FrankRuehl" w:cs="FrankRuehl"/>
          <w:color w:val="FFFFFF"/>
          <w:sz w:val="2"/>
          <w:szCs w:val="2"/>
          <w:rtl/>
        </w:rPr>
        <w:t>54678313</w:t>
      </w:r>
      <w:r w:rsidR="00BD6531" w:rsidRPr="00D10EBD">
        <w:rPr>
          <w:rFonts w:ascii="FrankRuehl" w:hAnsi="FrankRuehl" w:cs="FrankRuehl"/>
          <w:color w:val="FFFFFF"/>
          <w:sz w:val="2"/>
          <w:szCs w:val="2"/>
          <w:rtl/>
        </w:rPr>
        <w:tab/>
      </w:r>
      <w:r w:rsidR="00BD6531" w:rsidRPr="00D10EBD">
        <w:rPr>
          <w:rFonts w:ascii="FrankRuehl" w:hAnsi="FrankRuehl" w:cs="FrankRuehl"/>
          <w:color w:val="FFFFFF"/>
          <w:sz w:val="2"/>
          <w:szCs w:val="2"/>
          <w:rtl/>
        </w:rPr>
        <w:tab/>
      </w:r>
      <w:r w:rsidR="00BD6531" w:rsidRPr="00D10EBD">
        <w:rPr>
          <w:rFonts w:ascii="FrankRuehl" w:hAnsi="FrankRuehl" w:cs="FrankRuehl"/>
          <w:color w:val="FFFFFF"/>
          <w:sz w:val="2"/>
          <w:szCs w:val="2"/>
          <w:rtl/>
        </w:rPr>
        <w:tab/>
      </w:r>
      <w:r w:rsidR="00BD6531" w:rsidRPr="00D10EBD">
        <w:rPr>
          <w:rFonts w:ascii="FrankRuehl" w:hAnsi="FrankRuehl" w:cs="FrankRuehl"/>
          <w:color w:val="FFFFFF"/>
          <w:sz w:val="2"/>
          <w:szCs w:val="2"/>
          <w:rtl/>
        </w:rPr>
        <w:tab/>
        <w:t xml:space="preserve">        </w:t>
      </w:r>
    </w:p>
    <w:p w14:paraId="7001D1CA" w14:textId="77777777" w:rsidR="00BD1C73" w:rsidRDefault="00BD1C73" w:rsidP="00BD1C73">
      <w:pPr>
        <w:tabs>
          <w:tab w:val="left" w:pos="2553"/>
        </w:tabs>
        <w:rPr>
          <w:rFonts w:ascii="FrankRuehl" w:hAnsi="FrankRuehl" w:cs="FrankRuehl"/>
          <w:sz w:val="28"/>
          <w:szCs w:val="28"/>
          <w:rtl/>
        </w:rPr>
      </w:pPr>
    </w:p>
    <w:p w14:paraId="7C21F608" w14:textId="6E5280DF" w:rsidR="00BD1C73" w:rsidRPr="00BD1C73" w:rsidRDefault="00BD1C73" w:rsidP="00D10EBD">
      <w:pPr>
        <w:tabs>
          <w:tab w:val="left" w:pos="2553"/>
        </w:tabs>
        <w:rPr>
          <w:rFonts w:ascii="FrankRuehl" w:hAnsi="FrankRuehl"/>
          <w:color w:val="0000FF"/>
          <w:sz w:val="28"/>
          <w:u w:val="single"/>
          <w:rtl/>
        </w:rPr>
      </w:pPr>
    </w:p>
    <w:sectPr w:rsidR="00BD1C73" w:rsidRPr="00BD1C73" w:rsidSect="00D10EBD">
      <w:headerReference w:type="even" r:id="rId26"/>
      <w:headerReference w:type="default" r:id="rId27"/>
      <w:footerReference w:type="even" r:id="rId28"/>
      <w:footerReference w:type="default" r:id="rId29"/>
      <w:pgSz w:w="11907" w:h="16840" w:code="9"/>
      <w:pgMar w:top="1701" w:right="1800" w:bottom="993"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ED9F7" w14:textId="77777777" w:rsidR="00285763" w:rsidRDefault="00285763">
      <w:r>
        <w:separator/>
      </w:r>
    </w:p>
  </w:endnote>
  <w:endnote w:type="continuationSeparator" w:id="0">
    <w:p w14:paraId="42DD22B7" w14:textId="77777777" w:rsidR="00285763" w:rsidRDefault="0028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3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18B5D" w14:textId="77777777" w:rsidR="00D10EBD" w:rsidRDefault="00000000" w:rsidP="00D10EBD">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2</w:t>
    </w:r>
    <w:r>
      <w:rPr>
        <w:rFonts w:ascii="FrankRuehl" w:hAnsi="FrankRuehl" w:cs="FrankRuehl"/>
        <w:rtl/>
      </w:rPr>
      <w:fldChar w:fldCharType="end"/>
    </w:r>
  </w:p>
  <w:p w14:paraId="471C336C" w14:textId="07EC74E2" w:rsidR="006D4083" w:rsidRPr="00D10EBD" w:rsidRDefault="00275B47" w:rsidP="00D10EBD">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27FA03BC" wp14:editId="05D999C3">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578D" w14:textId="77777777" w:rsidR="00D10EBD" w:rsidRDefault="00000000" w:rsidP="00D10EBD">
    <w:pPr>
      <w:pStyle w:val="a7"/>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22062E">
      <w:rPr>
        <w:rFonts w:ascii="FrankRuehl" w:hAnsi="FrankRuehl" w:cs="FrankRuehl"/>
        <w:noProof/>
        <w:rtl/>
      </w:rPr>
      <w:t>3</w:t>
    </w:r>
    <w:r>
      <w:rPr>
        <w:rFonts w:ascii="FrankRuehl" w:hAnsi="FrankRuehl" w:cs="FrankRuehl"/>
        <w:rtl/>
      </w:rPr>
      <w:fldChar w:fldCharType="end"/>
    </w:r>
  </w:p>
  <w:p w14:paraId="1082BF6D" w14:textId="0D6EC17F" w:rsidR="006D4083" w:rsidRPr="00D10EBD" w:rsidRDefault="006D4083" w:rsidP="00D10EBD">
    <w:pPr>
      <w:pStyle w:val="a7"/>
      <w:pBdr>
        <w:top w:val="single" w:sz="4" w:space="1" w:color="auto"/>
        <w:between w:val="single" w:sz="4" w:space="0" w:color="auto"/>
      </w:pBdr>
      <w:spacing w:after="60"/>
      <w:jc w:val="center"/>
      <w:rPr>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AC3A" w14:textId="77777777" w:rsidR="00285763" w:rsidRDefault="00285763">
      <w:r>
        <w:separator/>
      </w:r>
    </w:p>
  </w:footnote>
  <w:footnote w:type="continuationSeparator" w:id="0">
    <w:p w14:paraId="5A165C4B" w14:textId="77777777" w:rsidR="00285763" w:rsidRDefault="0028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C3FF" w14:textId="77777777" w:rsidR="006D4083" w:rsidRPr="00D10EBD" w:rsidRDefault="00D10EBD" w:rsidP="00D10EBD">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172/24 </w:t>
    </w:r>
    <w:r>
      <w:rPr>
        <w:rFonts w:ascii="David" w:hAnsi="David"/>
        <w:color w:val="000000"/>
        <w:sz w:val="22"/>
        <w:szCs w:val="22"/>
        <w:rtl/>
      </w:rPr>
      <w:tab/>
      <w:t xml:space="preserve"> עו"ד ליאור מזור בתפקידו כנאמן לנכסי החייב נ' עזרא דואק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AC9F6" w14:textId="77777777" w:rsidR="00105E0F" w:rsidRPr="00D10EBD" w:rsidRDefault="00D10EBD" w:rsidP="00D10EBD">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3" w:name="_Hlk178191413"/>
    <w:bookmarkStart w:id="14" w:name="_Hlk178191414"/>
    <w:bookmarkStart w:id="15" w:name="_Hlk178191415"/>
    <w:bookmarkStart w:id="16" w:name="_Hlk178191416"/>
    <w:r>
      <w:rPr>
        <w:rFonts w:ascii="David" w:hAnsi="David"/>
        <w:color w:val="000000"/>
        <w:sz w:val="22"/>
        <w:szCs w:val="22"/>
        <w:rtl/>
      </w:rPr>
      <w:t xml:space="preserve">עא 172/24 </w:t>
    </w:r>
    <w:r>
      <w:rPr>
        <w:rFonts w:ascii="David" w:hAnsi="David"/>
        <w:color w:val="000000"/>
        <w:sz w:val="22"/>
        <w:szCs w:val="22"/>
        <w:rtl/>
      </w:rPr>
      <w:tab/>
      <w:t xml:space="preserve"> עו"ד ליאור מזור בתפקידו כנאמן לנכסי החייב נ' עזרא דואק</w:t>
    </w:r>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EAEF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88BD4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3062F7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62E842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B54377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4483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82AF8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ACCA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54D17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AE8B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A5507A94"/>
    <w:lvl w:ilvl="0" w:tplc="2222BEEC">
      <w:start w:val="1"/>
      <w:numFmt w:val="decimal"/>
      <w:pStyle w:val="Ruller4"/>
      <w:lvlText w:val="%1."/>
      <w:lvlJc w:val="left"/>
      <w:pPr>
        <w:tabs>
          <w:tab w:val="num" w:pos="907"/>
        </w:tabs>
        <w:ind w:left="0" w:firstLine="0"/>
      </w:pPr>
      <w:rPr>
        <w:color w:val="auto"/>
        <w:lang w:val="en-US"/>
      </w:rPr>
    </w:lvl>
    <w:lvl w:ilvl="1" w:tplc="0BDEB9D0">
      <w:start w:val="1"/>
      <w:numFmt w:val="lowerLetter"/>
      <w:lvlText w:val="%2."/>
      <w:lvlJc w:val="left"/>
      <w:pPr>
        <w:tabs>
          <w:tab w:val="num" w:pos="1440"/>
        </w:tabs>
        <w:ind w:left="1440" w:hanging="360"/>
      </w:pPr>
    </w:lvl>
    <w:lvl w:ilvl="2" w:tplc="DD2A3318">
      <w:start w:val="1"/>
      <w:numFmt w:val="lowerRoman"/>
      <w:lvlText w:val="%3."/>
      <w:lvlJc w:val="right"/>
      <w:pPr>
        <w:tabs>
          <w:tab w:val="num" w:pos="2160"/>
        </w:tabs>
        <w:ind w:left="2160" w:hanging="180"/>
      </w:pPr>
    </w:lvl>
    <w:lvl w:ilvl="3" w:tplc="A288E04C">
      <w:start w:val="1"/>
      <w:numFmt w:val="decimal"/>
      <w:lvlText w:val="%4."/>
      <w:lvlJc w:val="left"/>
      <w:pPr>
        <w:tabs>
          <w:tab w:val="num" w:pos="2880"/>
        </w:tabs>
        <w:ind w:left="2880" w:hanging="360"/>
      </w:pPr>
    </w:lvl>
    <w:lvl w:ilvl="4" w:tplc="5F2A6D26">
      <w:start w:val="1"/>
      <w:numFmt w:val="lowerLetter"/>
      <w:lvlText w:val="%5."/>
      <w:lvlJc w:val="left"/>
      <w:pPr>
        <w:tabs>
          <w:tab w:val="num" w:pos="3600"/>
        </w:tabs>
        <w:ind w:left="3600" w:hanging="360"/>
      </w:pPr>
    </w:lvl>
    <w:lvl w:ilvl="5" w:tplc="CC22C250">
      <w:start w:val="1"/>
      <w:numFmt w:val="lowerRoman"/>
      <w:lvlText w:val="%6."/>
      <w:lvlJc w:val="right"/>
      <w:pPr>
        <w:tabs>
          <w:tab w:val="num" w:pos="4320"/>
        </w:tabs>
        <w:ind w:left="4320" w:hanging="180"/>
      </w:pPr>
    </w:lvl>
    <w:lvl w:ilvl="6" w:tplc="2BEEC9CE">
      <w:start w:val="1"/>
      <w:numFmt w:val="decimal"/>
      <w:lvlText w:val="%7."/>
      <w:lvlJc w:val="left"/>
      <w:pPr>
        <w:tabs>
          <w:tab w:val="num" w:pos="5040"/>
        </w:tabs>
        <w:ind w:left="5040" w:hanging="360"/>
      </w:pPr>
    </w:lvl>
    <w:lvl w:ilvl="7" w:tplc="7F067564">
      <w:start w:val="1"/>
      <w:numFmt w:val="lowerLetter"/>
      <w:lvlText w:val="%8."/>
      <w:lvlJc w:val="left"/>
      <w:pPr>
        <w:tabs>
          <w:tab w:val="num" w:pos="5760"/>
        </w:tabs>
        <w:ind w:left="5760" w:hanging="360"/>
      </w:pPr>
    </w:lvl>
    <w:lvl w:ilvl="8" w:tplc="F5F41DE0">
      <w:start w:val="1"/>
      <w:numFmt w:val="lowerRoman"/>
      <w:lvlText w:val="%9."/>
      <w:lvlJc w:val="right"/>
      <w:pPr>
        <w:tabs>
          <w:tab w:val="num" w:pos="6480"/>
        </w:tabs>
        <w:ind w:left="6480" w:hanging="180"/>
      </w:pPr>
    </w:lvl>
  </w:abstractNum>
  <w:num w:numId="1" w16cid:durableId="1646423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984741">
    <w:abstractNumId w:val="8"/>
  </w:num>
  <w:num w:numId="3" w16cid:durableId="1270237485">
    <w:abstractNumId w:val="3"/>
  </w:num>
  <w:num w:numId="4" w16cid:durableId="1255287006">
    <w:abstractNumId w:val="2"/>
  </w:num>
  <w:num w:numId="5" w16cid:durableId="1944145795">
    <w:abstractNumId w:val="1"/>
  </w:num>
  <w:num w:numId="6" w16cid:durableId="1578058033">
    <w:abstractNumId w:val="0"/>
  </w:num>
  <w:num w:numId="7" w16cid:durableId="1617716527">
    <w:abstractNumId w:val="9"/>
  </w:num>
  <w:num w:numId="8" w16cid:durableId="1197354938">
    <w:abstractNumId w:val="7"/>
  </w:num>
  <w:num w:numId="9" w16cid:durableId="83577123">
    <w:abstractNumId w:val="6"/>
  </w:num>
  <w:num w:numId="10" w16cid:durableId="1067992259">
    <w:abstractNumId w:val="5"/>
  </w:num>
  <w:num w:numId="11" w16cid:durableId="136847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81828482"/>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81828482&amp;lt;/CaseID&amp;gt;_x000d__x000a_        &amp;lt;CaseMonth&amp;gt;1&amp;lt;/CaseMonth&amp;gt;_x000d__x000a_        &amp;lt;CaseYear&amp;gt;2024&amp;lt;/CaseYear&amp;gt;_x000d__x000a_        &amp;lt;CaseNumber&amp;gt;76605&amp;lt;/CaseNumber&amp;gt;_x000d__x000a_        &amp;lt;NumeratorGroupID&amp;gt;1&amp;lt;/NumeratorGroupID&amp;gt;_x000d__x000a_        &amp;lt;CaseName&amp;gt;עו&amp;quot;ד ליאור מזור  נ&amp;#39; דואק  ואח&amp;#39;&amp;lt;/CaseName&amp;gt;_x000d__x000a_        &amp;lt;CourtID&amp;gt;11&amp;lt;/CourtID&amp;gt;_x000d__x000a_        &amp;lt;CaseTypeID&amp;gt;10001&amp;lt;/CaseTypeID&amp;gt;_x000d__x000a_        &amp;lt;CaseInterestID&amp;gt;10711&amp;lt;/CaseInterestID&amp;gt;_x000d__x000a_        &amp;lt;CaseJudgeName&amp;gt;יצחק עמית&amp;lt;/CaseJudgeName&amp;gt;_x000d__x000a_        &amp;lt;CaseLinkTypeID&amp;gt;3&amp;lt;/CaseLinkTypeID&amp;gt;_x000d__x000a_        &amp;lt;ProcedureID&amp;gt;1&amp;lt;/ProcedureID&amp;gt;_x000d__x000a_        &amp;lt;PreviousCaseYear&amp;gt;2024&amp;lt;/PreviousCaseYear&amp;gt;_x000d__x000a_        &amp;lt;PreviousCaseNumber&amp;gt;172&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172/24&amp;lt;/CaseDisplayIdentifier&amp;gt;_x000d__x000a_        &amp;lt;CaseTypeDesc&amp;gt;ע&amp;quot;א&amp;lt;/CaseTypeDesc&amp;gt;_x000d__x000a_        &amp;lt;CourtDesc&amp;gt;העליון&amp;lt;/CourtDesc&amp;gt;_x000d__x000a_        &amp;lt;CaseStageDesc&amp;gt;תיק נייר מוסב&amp;lt;/CaseStageDesc&amp;gt;_x000d__x000a_        &amp;lt;IsUnpaidFeeExist&amp;gt;false&amp;lt;/IsUnpaidFeeExist&amp;gt;_x000d__x000a_        &amp;lt;CaseNextDeterminingTask&amp;gt;151&amp;lt;/CaseNextDeterminingTask&amp;gt;_x000d__x000a_        &amp;lt;CaseOpenDate&amp;gt;2024-01-07T00:00:00+02:00&amp;lt;/CaseOpenDate&amp;gt;_x000d__x000a_        &amp;lt;PleaTypeID&amp;gt;6&amp;lt;/PleaTypeID&amp;gt;_x000d__x000a_        &amp;lt;CourtLevelID&amp;gt;3&amp;lt;/CourtLevelID&amp;gt;_x000d__x000a_        &amp;lt;CourtLevelCaseTypeInterestID&amp;gt;2484&amp;lt;/CourtLevelCaseTypeInterestID&amp;gt;_x000d__x000a_        &amp;lt;CaseJudgeFirstName&amp;gt;יצחק&amp;lt;/CaseJudgeFirstName&amp;gt;_x000d__x000a_        &amp;lt;CaseJudgeLastName&amp;gt;עמית&amp;lt;/CaseJudgeLastName&amp;gt;_x000d__x000a_        &amp;lt;JudicalPersonID&amp;gt;055489611@GOV.IL&amp;lt;/JudicalPerson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1&amp;lt;/PreviousCaseTypeID&amp;gt;_x000d__x000a_        &amp;lt;CaseDesc /&amp;gt;_x000d__x000a_        &amp;lt;isExistMinorSide&amp;gt;false&amp;lt;/isExistMinorSide&amp;gt;_x000d__x000a_        &amp;lt;isExistMinorWitness&amp;gt;false&amp;lt;/isExistMinorWitness&amp;gt;_x000d__x000a_        &amp;lt;PreviousCaseIdentifier&amp;gt;20240001720&amp;lt;/PreviousCaseIdentifier&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1&amp;lt;/PendingWebSubmissionsQty&amp;gt;_x000d__x000a_        &amp;lt;PreviousSerialNumber&amp;gt;0&amp;lt;/PreviousSerialNumber&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81828482&amp;lt;/CaseID&amp;gt;_x000d__x000a_        &amp;lt;CaseMonth&amp;gt;1&amp;lt;/CaseMonth&amp;gt;_x000d__x000a_        &amp;lt;CaseYear&amp;gt;2024&amp;lt;/CaseYear&amp;gt;_x000d__x000a_        &amp;lt;CaseNumber&amp;gt;76605&amp;lt;/CaseNumber&amp;gt;_x000d__x000a_        &amp;lt;NumeratorGroupID&amp;gt;1&amp;lt;/NumeratorGroupID&amp;gt;_x000d__x000a_        &amp;lt;CaseName&amp;gt;עו&amp;quot;ד ליאור מזור  נ&amp;#39; דואק  ואח&amp;#39;&amp;lt;/CaseName&amp;gt;_x000d__x000a_        &amp;lt;CourtID&amp;gt;11&amp;lt;/CourtID&amp;gt;_x000d__x000a_        &amp;lt;CaseTypeID&amp;gt;10001&amp;lt;/CaseTypeID&amp;gt;_x000d__x000a_        &amp;lt;CaseInterestID&amp;gt;10711&amp;lt;/CaseInterestID&amp;gt;_x000d__x000a_        &amp;lt;CaseJudgeName&amp;gt;יצחק עמית&amp;lt;/CaseJudgeName&amp;gt;_x000d__x000a_        &amp;lt;CaseLinkTypeID&amp;gt;3&amp;lt;/CaseLinkTypeID&amp;gt;_x000d__x000a_        &amp;lt;ProcedureID&amp;gt;1&amp;lt;/ProcedureID&amp;gt;_x000d__x000a_        &amp;lt;PreviousCaseYear&amp;gt;2024&amp;lt;/PreviousCaseYear&amp;gt;_x000d__x000a_        &amp;lt;PreviousCaseNumber&amp;gt;172&amp;lt;/PreviousCaseNumber&amp;gt;_x000d__x000a_        &amp;lt;CaseStatusID&amp;gt;1&amp;lt;/CaseStatusID&amp;gt;_x000d__x000a_        &amp;lt;ProceedingID&amp;gt;1&amp;lt;/ProceedingID&amp;gt;_x000d__x000a_        &amp;lt;IsCaseLinked&amp;gt;true&amp;lt;/IsCaseLinked&amp;gt;_x000d__x000a_        &amp;lt;IsCaseConverted&amp;gt;true&amp;lt;/IsCaseConverted&amp;gt;_x000d__x000a_        &amp;lt;PrivilegeID&amp;gt;1&amp;lt;/PrivilegeID&amp;gt;_x000d__x000a_        &amp;lt;IsAppealingCaseExist&amp;gt;false&amp;lt;/IsAppealingCaseExist&amp;gt;_x000d__x000a_        &amp;lt;CaseDisplayIdentifier&amp;gt;172/24&amp;lt;/CaseDisplayIdentifier&amp;gt;_x000d__x000a_        &amp;lt;CaseTypeDesc&amp;gt;ע&amp;quot;א&amp;lt;/CaseTypeDesc&amp;gt;_x000d__x000a_        &amp;lt;CourtDesc&amp;gt;העליון&amp;lt;/CourtDesc&amp;gt;_x000d__x000a_        &amp;lt;CaseStageDesc&amp;gt;תיק נייר מוסב&amp;lt;/CaseStageDesc&amp;gt;_x000d__x000a_        &amp;lt;CaseNextDeterminingTask&amp;gt;151&amp;lt;/CaseNextDeterminingTask&amp;gt;_x000d__x000a_        &amp;lt;CaseOpenDate&amp;gt;2024-01-07T00:00:00+02:00&amp;lt;/CaseOpenDate&amp;gt;_x000d__x000a_        &amp;lt;PleaTypeID&amp;gt;6&amp;lt;/PleaTypeID&amp;gt;_x000d__x000a_        &amp;lt;CourtLevelID&amp;gt;3&amp;lt;/CourtLevelID&amp;gt;_x000d__x000a_        &amp;lt;CourtLevelCaseTypeInterestID&amp;gt;2484&amp;lt;/CourtLevelCaseTypeInterestID&amp;gt;_x000d__x000a_        &amp;lt;CaseJudgeFirstName&amp;gt;יצחק&amp;lt;/CaseJudgeFirstName&amp;gt;_x000d__x000a_        &amp;lt;CaseJudgeLastName&amp;gt;עמית&amp;lt;/CaseJudgeLastName&amp;gt;_x000d__x000a_        &amp;lt;JudicalPersonID&amp;gt;055489611@GOV.IL&amp;lt;/JudicalPersonID&amp;gt;_x000d__x000a_        &amp;lt;IsJudicalPanel&amp;gt;false&amp;lt;/IsJudicalPanel&amp;gt;_x000d__x000a_        &amp;lt;CourtDisplayName&amp;gt;בית המשפט העליון&amp;lt;/CourtDisplayName&amp;gt;_x000d__x000a_        &amp;lt;IsAllStartDataCollected&amp;gt;true&amp;lt;/IsAllStartDataCollected&amp;gt;_x000d__x000a_        &amp;lt;IsMainCase&amp;gt;false&amp;lt;/IsMainCase&amp;gt;_x000d__x000a_        &amp;lt;PreviousCourtID&amp;gt;1&amp;lt;/PreviousCourtID&amp;gt;_x000d__x000a_        &amp;lt;PreviousCaseTypeID&amp;gt;11&amp;lt;/PreviousCaseTypeID&amp;gt;_x000d__x000a_        &amp;lt;CaseDesc /&amp;gt;_x000d__x000a_        &amp;lt;PreviousCaseIdentifier&amp;gt;20240001720&amp;lt;/PreviousCaseIdentifier&amp;gt;_x000d__x000a_        &amp;lt;IsAccessibilityRequired&amp;gt;false&amp;lt;/IsAccessibilityRequired&amp;gt;_x000d__x000a_        &amp;lt;IsCasePredictedToAge&amp;gt;0&amp;lt;/IsCasePredictedToAge&amp;gt;_x000d__x000a_        &amp;lt;PendingWebSubmissionsQty&amp;gt;1&amp;lt;/PendingWebSubmissionsQty&amp;gt;_x000d__x000a_        &amp;lt;PreviousSerialNumber&amp;gt;0&amp;lt;/PreviousSerialNumber&amp;gt;_x000d__x000a_      &amp;lt;/CasePresentationDataSet&amp;gt;_x000d__x000a_    &amp;lt;/diffgr:before&amp;gt;_x000d__x000a_  &amp;lt;/diffgr:diffgram&amp;gt;_x000d__x000a_&amp;lt;/CasePresentationDS&amp;gt;"/>
    <w:docVar w:name="CourtID" w:val="11"/>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002442&amp;lt;/DecisionID&amp;gt;_x000d__x000a_        &amp;lt;DecisionName&amp;gt;פסק דין  שניתנה ע&amp;quot;י  דוד מינץ&amp;lt;/DecisionName&amp;gt;_x000d__x000a_        &amp;lt;DecisionStatusID&amp;gt;1&amp;lt;/DecisionStatusID&amp;gt;_x000d__x000a_        &amp;lt;DecisionStatusChangeDate&amp;gt;2024-09-18T17:22:49.28+03:00&amp;lt;/DecisionStatusChangeDate&amp;gt;_x000d__x000a_        &amp;lt;DecisionSignatureDate&amp;gt;2024-09-18T17:22:49.053+03:00&amp;lt;/DecisionSignatureDate&amp;gt;_x000d__x000a_        &amp;lt;DecisionSignatureUserID&amp;gt;012671061@GOV.IL&amp;lt;/DecisionSignatureUserID&amp;gt;_x000d__x000a_        &amp;lt;DecisionCreateDate&amp;gt;2024-09-18T15:52:07.24+03:00&amp;lt;/DecisionCreateDate&amp;gt;_x000d__x000a_        &amp;lt;DecisionChangeDate&amp;gt;2024-09-18T17:22:49.403+03:00&amp;lt;/DecisionChangeDate&amp;gt;_x000d__x000a_        &amp;lt;DecisionChangeUserID&amp;gt;316515105@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5608870&amp;lt;/DocumentID&amp;gt;_x000d__x000a_        &amp;lt;PrivilegeID&amp;gt;1&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12671061@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316515105@GOV.IL&amp;lt;/DecisionCreationUserID&amp;gt;_x000d__x000a_        &amp;lt;DecisionDisplayName&amp;gt;פסק דין  שניתנה ע&amp;quot;י  דוד מינץ&amp;lt;/DecisionDisplayName&amp;gt;_x000d__x000a_        &amp;lt;IsScanned&amp;gt;false&amp;lt;/IsScanned&amp;gt;_x000d__x000a_        &amp;lt;DecisionSignatureUserName&amp;gt;דוד מינץ&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5&amp;lt;/DecisionNumberInCase&amp;gt;_x000d__x000a_        &amp;lt;DecisionMeetingDate&amp;gt;2024-09-11T00:00:00+03:00&amp;lt;/DecisionMeetingDate&amp;gt;_x000d__x000a_      &amp;lt;/dt_Decision&amp;gt;_x000d__x000a_      &amp;lt;dt_DecisionCase diffgr:id=&amp;quot;dt_DecisionCase1&amp;quot; msdata:rowOrder=&amp;quot;0&amp;quot;&amp;gt;_x000d__x000a_        &amp;lt;DecisionID&amp;gt;155002442&amp;lt;/DecisionID&amp;gt;_x000d__x000a_        &amp;lt;CaseID&amp;gt;81828482&amp;lt;/CaseID&amp;gt;_x000d__x000a_        &amp;lt;IsOriginal&amp;gt;true&amp;lt;/IsOriginal&amp;gt;_x000d__x000a_        &amp;lt;IsDeleted&amp;gt;false&amp;lt;/IsDeleted&amp;gt;_x000d__x000a_        &amp;lt;CaseName&amp;gt;עו&amp;quot;ד ליאור מזור  נ&amp;#39; דואק  ואח&amp;#39;&amp;lt;/CaseName&amp;gt;_x000d__x000a_        &amp;lt;CaseDisplayIdentifier&amp;gt;ע&amp;quot;א 172/24&amp;lt;/CaseDisplayIdentifier&amp;gt;_x000d__x000a_      &amp;lt;/dt_DecisionCase&amp;gt;_x000d__x000a_    &amp;lt;/DecisionDS&amp;gt;_x000d__x000a_  &amp;lt;/diffgr:diffgram&amp;gt;_x000d__x000a_&amp;lt;/DecisionDS&amp;gt;"/>
    <w:docVar w:name="DecisionID" w:val="155002442"/>
    <w:docVar w:name="MyInfo" w:val="This document was extracted from Nevo's site"/>
    <w:docVar w:name="WordClientAssemblyName" w:val="NGCS.Decision.ClientWordBL"/>
    <w:docVar w:name="WordClientClassName" w:val="NGCS.Decision.ClientWordBL.DecisionClient"/>
  </w:docVars>
  <w:rsids>
    <w:rsidRoot w:val="00694556"/>
    <w:rsid w:val="00000062"/>
    <w:rsid w:val="0000226B"/>
    <w:rsid w:val="00005C8B"/>
    <w:rsid w:val="00007DE0"/>
    <w:rsid w:val="000341E8"/>
    <w:rsid w:val="000346CC"/>
    <w:rsid w:val="000529D2"/>
    <w:rsid w:val="000529F0"/>
    <w:rsid w:val="000564AB"/>
    <w:rsid w:val="00064FBD"/>
    <w:rsid w:val="00082AB2"/>
    <w:rsid w:val="000906FE"/>
    <w:rsid w:val="0009322B"/>
    <w:rsid w:val="00096AF7"/>
    <w:rsid w:val="000B344B"/>
    <w:rsid w:val="000C3B0F"/>
    <w:rsid w:val="000C3B60"/>
    <w:rsid w:val="000E0DD2"/>
    <w:rsid w:val="000E12EA"/>
    <w:rsid w:val="000E3AF1"/>
    <w:rsid w:val="000F0BC8"/>
    <w:rsid w:val="000F0DD6"/>
    <w:rsid w:val="00103959"/>
    <w:rsid w:val="00105E0F"/>
    <w:rsid w:val="00107E6D"/>
    <w:rsid w:val="0011194C"/>
    <w:rsid w:val="0011424C"/>
    <w:rsid w:val="001173C6"/>
    <w:rsid w:val="001367BC"/>
    <w:rsid w:val="00144D2A"/>
    <w:rsid w:val="0014653E"/>
    <w:rsid w:val="00180519"/>
    <w:rsid w:val="00191C82"/>
    <w:rsid w:val="00193B4B"/>
    <w:rsid w:val="001B7E11"/>
    <w:rsid w:val="001C4003"/>
    <w:rsid w:val="001D4DBF"/>
    <w:rsid w:val="001E75CA"/>
    <w:rsid w:val="0022062E"/>
    <w:rsid w:val="002265FF"/>
    <w:rsid w:val="00235B97"/>
    <w:rsid w:val="0025045D"/>
    <w:rsid w:val="00261FEE"/>
    <w:rsid w:val="00270C62"/>
    <w:rsid w:val="00271B56"/>
    <w:rsid w:val="00275B47"/>
    <w:rsid w:val="00275E20"/>
    <w:rsid w:val="00285763"/>
    <w:rsid w:val="00286B0C"/>
    <w:rsid w:val="002A1B48"/>
    <w:rsid w:val="002B3BE7"/>
    <w:rsid w:val="002B3D5F"/>
    <w:rsid w:val="002C344E"/>
    <w:rsid w:val="002E75E9"/>
    <w:rsid w:val="002F0B1E"/>
    <w:rsid w:val="0030004C"/>
    <w:rsid w:val="00307A6A"/>
    <w:rsid w:val="00307C40"/>
    <w:rsid w:val="00320433"/>
    <w:rsid w:val="003230C7"/>
    <w:rsid w:val="0032456E"/>
    <w:rsid w:val="00327E50"/>
    <w:rsid w:val="0033597A"/>
    <w:rsid w:val="00343D89"/>
    <w:rsid w:val="00362612"/>
    <w:rsid w:val="003659DF"/>
    <w:rsid w:val="0036743F"/>
    <w:rsid w:val="00367B06"/>
    <w:rsid w:val="003715DD"/>
    <w:rsid w:val="003823E0"/>
    <w:rsid w:val="00387533"/>
    <w:rsid w:val="003A4521"/>
    <w:rsid w:val="003B3E8D"/>
    <w:rsid w:val="003D1C8C"/>
    <w:rsid w:val="0040096C"/>
    <w:rsid w:val="00414F1F"/>
    <w:rsid w:val="0042294E"/>
    <w:rsid w:val="00423D45"/>
    <w:rsid w:val="00427D86"/>
    <w:rsid w:val="0043125D"/>
    <w:rsid w:val="0043502B"/>
    <w:rsid w:val="00443C0E"/>
    <w:rsid w:val="004443AC"/>
    <w:rsid w:val="00444748"/>
    <w:rsid w:val="00444B02"/>
    <w:rsid w:val="00451E28"/>
    <w:rsid w:val="00462C62"/>
    <w:rsid w:val="00465D36"/>
    <w:rsid w:val="004C17EE"/>
    <w:rsid w:val="004C4BDF"/>
    <w:rsid w:val="004D1187"/>
    <w:rsid w:val="004D3AA0"/>
    <w:rsid w:val="004D5DA9"/>
    <w:rsid w:val="004E1987"/>
    <w:rsid w:val="004E2E15"/>
    <w:rsid w:val="004E6E3C"/>
    <w:rsid w:val="00511B90"/>
    <w:rsid w:val="00520898"/>
    <w:rsid w:val="00523621"/>
    <w:rsid w:val="00524986"/>
    <w:rsid w:val="005268F6"/>
    <w:rsid w:val="00534284"/>
    <w:rsid w:val="00547DB7"/>
    <w:rsid w:val="005C0627"/>
    <w:rsid w:val="005C42DF"/>
    <w:rsid w:val="005F4F09"/>
    <w:rsid w:val="0061431B"/>
    <w:rsid w:val="00616AE2"/>
    <w:rsid w:val="00622BAA"/>
    <w:rsid w:val="006233C3"/>
    <w:rsid w:val="006306CF"/>
    <w:rsid w:val="006318D8"/>
    <w:rsid w:val="00632621"/>
    <w:rsid w:val="00644E9A"/>
    <w:rsid w:val="00671BD5"/>
    <w:rsid w:val="00672A23"/>
    <w:rsid w:val="006805C1"/>
    <w:rsid w:val="006833AE"/>
    <w:rsid w:val="00686C21"/>
    <w:rsid w:val="006931C1"/>
    <w:rsid w:val="00694556"/>
    <w:rsid w:val="006B7258"/>
    <w:rsid w:val="006C30C5"/>
    <w:rsid w:val="006D3B31"/>
    <w:rsid w:val="006D4083"/>
    <w:rsid w:val="006E0D96"/>
    <w:rsid w:val="006E1A53"/>
    <w:rsid w:val="006F56E6"/>
    <w:rsid w:val="00704EDA"/>
    <w:rsid w:val="00721122"/>
    <w:rsid w:val="00734689"/>
    <w:rsid w:val="00736D7D"/>
    <w:rsid w:val="007447C7"/>
    <w:rsid w:val="00750D41"/>
    <w:rsid w:val="00753019"/>
    <w:rsid w:val="00754801"/>
    <w:rsid w:val="00761441"/>
    <w:rsid w:val="00795365"/>
    <w:rsid w:val="007A351D"/>
    <w:rsid w:val="007B7765"/>
    <w:rsid w:val="007C5BDD"/>
    <w:rsid w:val="007D45E3"/>
    <w:rsid w:val="007E6115"/>
    <w:rsid w:val="007F4609"/>
    <w:rsid w:val="00814468"/>
    <w:rsid w:val="008176A1"/>
    <w:rsid w:val="00820005"/>
    <w:rsid w:val="00841158"/>
    <w:rsid w:val="00844318"/>
    <w:rsid w:val="008458D7"/>
    <w:rsid w:val="00851257"/>
    <w:rsid w:val="00863F5D"/>
    <w:rsid w:val="00870890"/>
    <w:rsid w:val="00873602"/>
    <w:rsid w:val="00875D12"/>
    <w:rsid w:val="00884385"/>
    <w:rsid w:val="0088479D"/>
    <w:rsid w:val="00891F42"/>
    <w:rsid w:val="00896889"/>
    <w:rsid w:val="008A59EE"/>
    <w:rsid w:val="008A6178"/>
    <w:rsid w:val="008A6E97"/>
    <w:rsid w:val="008C5714"/>
    <w:rsid w:val="008D10B2"/>
    <w:rsid w:val="00903896"/>
    <w:rsid w:val="00906F3D"/>
    <w:rsid w:val="0094424E"/>
    <w:rsid w:val="00955642"/>
    <w:rsid w:val="00960D52"/>
    <w:rsid w:val="009622DF"/>
    <w:rsid w:val="0096493F"/>
    <w:rsid w:val="009659A5"/>
    <w:rsid w:val="00967DFF"/>
    <w:rsid w:val="00990B1B"/>
    <w:rsid w:val="00994341"/>
    <w:rsid w:val="009A2E21"/>
    <w:rsid w:val="009B0E57"/>
    <w:rsid w:val="009C2298"/>
    <w:rsid w:val="009D1A48"/>
    <w:rsid w:val="009E1CE7"/>
    <w:rsid w:val="009E4EA5"/>
    <w:rsid w:val="009F164B"/>
    <w:rsid w:val="009F323C"/>
    <w:rsid w:val="009F56F0"/>
    <w:rsid w:val="009F74EB"/>
    <w:rsid w:val="00A3392B"/>
    <w:rsid w:val="00A43DB4"/>
    <w:rsid w:val="00A5389F"/>
    <w:rsid w:val="00A80E98"/>
    <w:rsid w:val="00A81988"/>
    <w:rsid w:val="00A85E34"/>
    <w:rsid w:val="00A87DF6"/>
    <w:rsid w:val="00A9144F"/>
    <w:rsid w:val="00A94B64"/>
    <w:rsid w:val="00AA3229"/>
    <w:rsid w:val="00AA7596"/>
    <w:rsid w:val="00AB0803"/>
    <w:rsid w:val="00AB5E52"/>
    <w:rsid w:val="00AC3B02"/>
    <w:rsid w:val="00AC3B7B"/>
    <w:rsid w:val="00AC5209"/>
    <w:rsid w:val="00AE0E34"/>
    <w:rsid w:val="00AE6D6A"/>
    <w:rsid w:val="00AE729E"/>
    <w:rsid w:val="00AE7752"/>
    <w:rsid w:val="00AF7FDA"/>
    <w:rsid w:val="00B27E9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D1C73"/>
    <w:rsid w:val="00BD6531"/>
    <w:rsid w:val="00BE05B2"/>
    <w:rsid w:val="00BF1908"/>
    <w:rsid w:val="00BF76BE"/>
    <w:rsid w:val="00C00FB5"/>
    <w:rsid w:val="00C05869"/>
    <w:rsid w:val="00C22D93"/>
    <w:rsid w:val="00C23458"/>
    <w:rsid w:val="00C31120"/>
    <w:rsid w:val="00C318A2"/>
    <w:rsid w:val="00C34482"/>
    <w:rsid w:val="00C43648"/>
    <w:rsid w:val="00C50A9F"/>
    <w:rsid w:val="00C61238"/>
    <w:rsid w:val="00C642FA"/>
    <w:rsid w:val="00C9217F"/>
    <w:rsid w:val="00CA4C49"/>
    <w:rsid w:val="00CB391B"/>
    <w:rsid w:val="00CC1BAD"/>
    <w:rsid w:val="00CC7622"/>
    <w:rsid w:val="00CD516B"/>
    <w:rsid w:val="00CD608F"/>
    <w:rsid w:val="00CE0084"/>
    <w:rsid w:val="00CF403E"/>
    <w:rsid w:val="00CF6BB7"/>
    <w:rsid w:val="00D043FB"/>
    <w:rsid w:val="00D04AA4"/>
    <w:rsid w:val="00D10EBD"/>
    <w:rsid w:val="00D20565"/>
    <w:rsid w:val="00D27982"/>
    <w:rsid w:val="00D33B86"/>
    <w:rsid w:val="00D44968"/>
    <w:rsid w:val="00D53924"/>
    <w:rsid w:val="00D55D0C"/>
    <w:rsid w:val="00D730B5"/>
    <w:rsid w:val="00D96D8C"/>
    <w:rsid w:val="00DA6649"/>
    <w:rsid w:val="00DC1259"/>
    <w:rsid w:val="00DC1BD2"/>
    <w:rsid w:val="00DC2571"/>
    <w:rsid w:val="00DC487C"/>
    <w:rsid w:val="00DC792F"/>
    <w:rsid w:val="00DD4335"/>
    <w:rsid w:val="00DE1E7D"/>
    <w:rsid w:val="00DE3D68"/>
    <w:rsid w:val="00DE6BF6"/>
    <w:rsid w:val="00E05451"/>
    <w:rsid w:val="00E1068A"/>
    <w:rsid w:val="00E23C2C"/>
    <w:rsid w:val="00E25884"/>
    <w:rsid w:val="00E25B55"/>
    <w:rsid w:val="00E311E6"/>
    <w:rsid w:val="00E31C2B"/>
    <w:rsid w:val="00E37894"/>
    <w:rsid w:val="00E5426A"/>
    <w:rsid w:val="00E54642"/>
    <w:rsid w:val="00E80CBE"/>
    <w:rsid w:val="00E859F1"/>
    <w:rsid w:val="00E90C45"/>
    <w:rsid w:val="00E9269D"/>
    <w:rsid w:val="00E962E3"/>
    <w:rsid w:val="00EB6C79"/>
    <w:rsid w:val="00EC37E9"/>
    <w:rsid w:val="00EF0B64"/>
    <w:rsid w:val="00EF1562"/>
    <w:rsid w:val="00F038D8"/>
    <w:rsid w:val="00F06995"/>
    <w:rsid w:val="00F12D66"/>
    <w:rsid w:val="00F13623"/>
    <w:rsid w:val="00F14E68"/>
    <w:rsid w:val="00F312DC"/>
    <w:rsid w:val="00F44D1D"/>
    <w:rsid w:val="00F84B6D"/>
    <w:rsid w:val="00F856E6"/>
    <w:rsid w:val="00F957E8"/>
    <w:rsid w:val="00FA311A"/>
    <w:rsid w:val="00FA55F6"/>
    <w:rsid w:val="00FA5FDA"/>
    <w:rsid w:val="00FA7FD0"/>
    <w:rsid w:val="00FB2960"/>
    <w:rsid w:val="00FB6AB3"/>
    <w:rsid w:val="00FB7A67"/>
    <w:rsid w:val="00FD1419"/>
    <w:rsid w:val="00FD22A7"/>
    <w:rsid w:val="00FD79E4"/>
    <w:rsid w:val="00FE09EC"/>
    <w:rsid w:val="00FE2894"/>
    <w:rsid w:val="00FF1EA0"/>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6446A"/>
  <w15:docId w15:val="{F26D5595-3E12-425F-A66B-8E5FB503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960D52"/>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960D52"/>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960D52"/>
    <w:pPr>
      <w:keepNext/>
      <w:spacing w:line="360" w:lineRule="auto"/>
      <w:jc w:val="both"/>
      <w:outlineLvl w:val="2"/>
    </w:pPr>
    <w:rPr>
      <w:b/>
      <w:bCs/>
      <w:sz w:val="20"/>
      <w:lang w:eastAsia="he-IL"/>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960D52"/>
    <w:pPr>
      <w:keepNext/>
      <w:keepLines/>
      <w:spacing w:before="40"/>
      <w:outlineLvl w:val="4"/>
    </w:pPr>
    <w:rPr>
      <w:rFonts w:ascii="Cambria" w:hAnsi="Cambria" w:cs="Times New Roman"/>
      <w:color w:val="365F91"/>
    </w:rPr>
  </w:style>
  <w:style w:type="paragraph" w:styleId="6">
    <w:name w:val="heading 6"/>
    <w:basedOn w:val="a1"/>
    <w:next w:val="a1"/>
    <w:link w:val="60"/>
    <w:qFormat/>
    <w:rsid w:val="00960D52"/>
    <w:pPr>
      <w:keepNext/>
      <w:keepLines/>
      <w:spacing w:before="40"/>
      <w:outlineLvl w:val="5"/>
    </w:pPr>
    <w:rPr>
      <w:rFonts w:ascii="Cambria" w:hAnsi="Cambria" w:cs="Times New Roman"/>
      <w:color w:val="243F60"/>
    </w:rPr>
  </w:style>
  <w:style w:type="paragraph" w:styleId="7">
    <w:name w:val="heading 7"/>
    <w:basedOn w:val="a1"/>
    <w:next w:val="a1"/>
    <w:link w:val="70"/>
    <w:qFormat/>
    <w:rsid w:val="00960D52"/>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960D52"/>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960D52"/>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0">
    <w:name w:val="Ruller4 תו"/>
    <w:link w:val="Ruller41"/>
    <w:locked/>
    <w:rsid w:val="00E311E6"/>
    <w:rPr>
      <w:rFonts w:ascii="Arial TUR" w:hAnsi="Arial TUR" w:cs="FrankRuehl"/>
      <w:spacing w:val="10"/>
      <w:sz w:val="22"/>
      <w:szCs w:val="28"/>
    </w:rPr>
  </w:style>
  <w:style w:type="paragraph" w:customStyle="1" w:styleId="Ruller41">
    <w:name w:val="Ruller4"/>
    <w:basedOn w:val="a1"/>
    <w:link w:val="Ruller40"/>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a1"/>
    <w:rsid w:val="00E23C2C"/>
    <w:pPr>
      <w:overflowPunct w:val="0"/>
      <w:autoSpaceDE w:val="0"/>
      <w:autoSpaceDN w:val="0"/>
      <w:adjustRightInd w:val="0"/>
      <w:ind w:left="1644" w:right="1276"/>
      <w:jc w:val="both"/>
    </w:pPr>
    <w:rPr>
      <w:rFonts w:ascii="Arial TUR" w:hAnsi="Arial TUR" w:cs="FrankRuehl"/>
      <w:spacing w:val="10"/>
      <w:sz w:val="22"/>
      <w:szCs w:val="28"/>
    </w:rPr>
  </w:style>
  <w:style w:type="paragraph" w:customStyle="1" w:styleId="Ruller4">
    <w:name w:val="Ruller 4 ממוספר"/>
    <w:basedOn w:val="Ruller41"/>
    <w:next w:val="Ruller41"/>
    <w:rsid w:val="00E23C2C"/>
    <w:pPr>
      <w:numPr>
        <w:numId w:val="1"/>
      </w:numPr>
      <w:tabs>
        <w:tab w:val="clear" w:pos="907"/>
        <w:tab w:val="num" w:pos="360"/>
      </w:tabs>
    </w:pPr>
    <w:rPr>
      <w:rFonts w:ascii="Garamond" w:hAnsi="Garamond"/>
      <w:sz w:val="24"/>
    </w:rPr>
  </w:style>
  <w:style w:type="paragraph" w:customStyle="1" w:styleId="13">
    <w:name w:val="פיסקת רשימה1"/>
    <w:basedOn w:val="a1"/>
    <w:uiPriority w:val="34"/>
    <w:qFormat/>
    <w:rsid w:val="00C318A2"/>
    <w:pPr>
      <w:ind w:left="720"/>
      <w:contextualSpacing/>
    </w:pPr>
  </w:style>
  <w:style w:type="character" w:customStyle="1" w:styleId="32">
    <w:name w:val="כותרת 3 תו"/>
    <w:link w:val="31"/>
    <w:rsid w:val="00960D52"/>
    <w:rPr>
      <w:rFonts w:cs="David"/>
      <w:b/>
      <w:bCs/>
      <w:noProof w:val="0"/>
      <w:szCs w:val="24"/>
      <w:lang w:eastAsia="he-IL"/>
    </w:rPr>
  </w:style>
  <w:style w:type="character" w:styleId="FollowedHyperlink">
    <w:name w:val="FollowedHyperlink"/>
    <w:rsid w:val="00960D52"/>
    <w:rPr>
      <w:noProof w:val="0"/>
      <w:color w:val="800080"/>
      <w:u w:val="single"/>
    </w:rPr>
  </w:style>
  <w:style w:type="character" w:styleId="HTMLCite">
    <w:name w:val="HTML Cite"/>
    <w:rsid w:val="00960D52"/>
    <w:rPr>
      <w:i/>
      <w:iCs/>
      <w:noProof w:val="0"/>
    </w:rPr>
  </w:style>
  <w:style w:type="character" w:styleId="HTMLCode">
    <w:name w:val="HTML Code"/>
    <w:rsid w:val="00960D52"/>
    <w:rPr>
      <w:rFonts w:ascii="Consolas" w:hAnsi="Consolas"/>
      <w:noProof w:val="0"/>
      <w:sz w:val="20"/>
      <w:szCs w:val="20"/>
    </w:rPr>
  </w:style>
  <w:style w:type="character" w:styleId="HTMLDefinition">
    <w:name w:val="HTML Definition"/>
    <w:rsid w:val="00960D52"/>
    <w:rPr>
      <w:i/>
      <w:iCs/>
      <w:noProof w:val="0"/>
    </w:rPr>
  </w:style>
  <w:style w:type="character" w:styleId="HTMLVariable">
    <w:name w:val="HTML Variable"/>
    <w:rsid w:val="00960D52"/>
    <w:rPr>
      <w:i/>
      <w:iCs/>
      <w:noProof w:val="0"/>
    </w:rPr>
  </w:style>
  <w:style w:type="paragraph" w:styleId="HTML">
    <w:name w:val="HTML Preformatted"/>
    <w:basedOn w:val="a1"/>
    <w:link w:val="HTML0"/>
    <w:rsid w:val="00960D52"/>
    <w:rPr>
      <w:rFonts w:ascii="Consolas" w:hAnsi="Consolas"/>
      <w:sz w:val="20"/>
      <w:szCs w:val="20"/>
    </w:rPr>
  </w:style>
  <w:style w:type="character" w:customStyle="1" w:styleId="HTML0">
    <w:name w:val="HTML מעוצב מראש תו"/>
    <w:link w:val="HTML"/>
    <w:semiHidden/>
    <w:rsid w:val="00960D52"/>
    <w:rPr>
      <w:rFonts w:ascii="Consolas" w:hAnsi="Consolas" w:cs="David"/>
      <w:noProof w:val="0"/>
    </w:rPr>
  </w:style>
  <w:style w:type="character" w:styleId="Hyperlink">
    <w:name w:val="Hyperlink"/>
    <w:rsid w:val="00960D52"/>
    <w:rPr>
      <w:noProof w:val="0"/>
      <w:color w:val="0000FF"/>
      <w:u w:val="single"/>
    </w:rPr>
  </w:style>
  <w:style w:type="paragraph" w:styleId="Index1">
    <w:name w:val="index 1"/>
    <w:basedOn w:val="a1"/>
    <w:next w:val="a1"/>
    <w:autoRedefine/>
    <w:rsid w:val="00960D52"/>
    <w:pPr>
      <w:ind w:left="240" w:hanging="240"/>
    </w:pPr>
  </w:style>
  <w:style w:type="paragraph" w:styleId="Index2">
    <w:name w:val="index 2"/>
    <w:basedOn w:val="a1"/>
    <w:next w:val="a1"/>
    <w:autoRedefine/>
    <w:rsid w:val="00960D52"/>
    <w:pPr>
      <w:ind w:left="480" w:hanging="240"/>
    </w:pPr>
  </w:style>
  <w:style w:type="paragraph" w:styleId="Index3">
    <w:name w:val="index 3"/>
    <w:basedOn w:val="a1"/>
    <w:next w:val="a1"/>
    <w:autoRedefine/>
    <w:rsid w:val="00960D52"/>
    <w:pPr>
      <w:ind w:left="720" w:hanging="240"/>
    </w:pPr>
  </w:style>
  <w:style w:type="paragraph" w:styleId="Index4">
    <w:name w:val="index 4"/>
    <w:basedOn w:val="a1"/>
    <w:next w:val="a1"/>
    <w:autoRedefine/>
    <w:rsid w:val="00960D52"/>
    <w:pPr>
      <w:ind w:left="960" w:hanging="240"/>
    </w:pPr>
  </w:style>
  <w:style w:type="paragraph" w:styleId="Index5">
    <w:name w:val="index 5"/>
    <w:basedOn w:val="a1"/>
    <w:next w:val="a1"/>
    <w:autoRedefine/>
    <w:rsid w:val="00960D52"/>
    <w:pPr>
      <w:ind w:left="1200" w:hanging="240"/>
    </w:pPr>
  </w:style>
  <w:style w:type="paragraph" w:styleId="Index6">
    <w:name w:val="index 6"/>
    <w:basedOn w:val="a1"/>
    <w:next w:val="a1"/>
    <w:autoRedefine/>
    <w:rsid w:val="00960D52"/>
    <w:pPr>
      <w:ind w:left="1440" w:hanging="240"/>
    </w:pPr>
  </w:style>
  <w:style w:type="paragraph" w:styleId="Index7">
    <w:name w:val="index 7"/>
    <w:basedOn w:val="a1"/>
    <w:next w:val="a1"/>
    <w:autoRedefine/>
    <w:rsid w:val="00960D52"/>
    <w:pPr>
      <w:ind w:left="1680" w:hanging="240"/>
    </w:pPr>
  </w:style>
  <w:style w:type="paragraph" w:styleId="Index8">
    <w:name w:val="index 8"/>
    <w:basedOn w:val="a1"/>
    <w:next w:val="a1"/>
    <w:autoRedefine/>
    <w:rsid w:val="00960D52"/>
    <w:pPr>
      <w:ind w:left="1920" w:hanging="240"/>
    </w:pPr>
  </w:style>
  <w:style w:type="paragraph" w:styleId="Index9">
    <w:name w:val="index 9"/>
    <w:basedOn w:val="a1"/>
    <w:next w:val="a1"/>
    <w:autoRedefine/>
    <w:rsid w:val="00960D52"/>
    <w:pPr>
      <w:ind w:left="2160" w:hanging="240"/>
    </w:pPr>
  </w:style>
  <w:style w:type="paragraph" w:styleId="NormalWeb">
    <w:name w:val="Normal (Web)"/>
    <w:basedOn w:val="a1"/>
    <w:rsid w:val="00960D52"/>
    <w:rPr>
      <w:rFonts w:cs="Times New Roman"/>
    </w:rPr>
  </w:style>
  <w:style w:type="paragraph" w:styleId="TOC1">
    <w:name w:val="toc 1"/>
    <w:basedOn w:val="a1"/>
    <w:next w:val="a1"/>
    <w:autoRedefine/>
    <w:rsid w:val="00960D52"/>
    <w:pPr>
      <w:spacing w:after="100"/>
    </w:pPr>
  </w:style>
  <w:style w:type="paragraph" w:styleId="TOC2">
    <w:name w:val="toc 2"/>
    <w:basedOn w:val="a1"/>
    <w:next w:val="a1"/>
    <w:autoRedefine/>
    <w:rsid w:val="00960D52"/>
    <w:pPr>
      <w:spacing w:after="100"/>
      <w:ind w:left="240"/>
    </w:pPr>
  </w:style>
  <w:style w:type="paragraph" w:styleId="TOC3">
    <w:name w:val="toc 3"/>
    <w:basedOn w:val="a1"/>
    <w:next w:val="a1"/>
    <w:autoRedefine/>
    <w:rsid w:val="00960D52"/>
    <w:pPr>
      <w:spacing w:after="100"/>
      <w:ind w:left="480"/>
    </w:pPr>
  </w:style>
  <w:style w:type="paragraph" w:styleId="TOC4">
    <w:name w:val="toc 4"/>
    <w:basedOn w:val="a1"/>
    <w:next w:val="a1"/>
    <w:autoRedefine/>
    <w:rsid w:val="00960D52"/>
    <w:pPr>
      <w:spacing w:after="100"/>
      <w:ind w:left="720"/>
    </w:pPr>
  </w:style>
  <w:style w:type="paragraph" w:styleId="TOC5">
    <w:name w:val="toc 5"/>
    <w:basedOn w:val="a1"/>
    <w:next w:val="a1"/>
    <w:autoRedefine/>
    <w:rsid w:val="00960D52"/>
    <w:pPr>
      <w:spacing w:after="100"/>
      <w:ind w:left="960"/>
    </w:pPr>
  </w:style>
  <w:style w:type="paragraph" w:styleId="TOC6">
    <w:name w:val="toc 6"/>
    <w:basedOn w:val="a1"/>
    <w:next w:val="a1"/>
    <w:autoRedefine/>
    <w:rsid w:val="00960D52"/>
    <w:pPr>
      <w:spacing w:after="100"/>
      <w:ind w:left="1200"/>
    </w:pPr>
  </w:style>
  <w:style w:type="paragraph" w:styleId="TOC7">
    <w:name w:val="toc 7"/>
    <w:basedOn w:val="a1"/>
    <w:next w:val="a1"/>
    <w:autoRedefine/>
    <w:rsid w:val="00960D52"/>
    <w:pPr>
      <w:spacing w:after="100"/>
      <w:ind w:left="1440"/>
    </w:pPr>
  </w:style>
  <w:style w:type="paragraph" w:styleId="TOC8">
    <w:name w:val="toc 8"/>
    <w:basedOn w:val="a1"/>
    <w:next w:val="a1"/>
    <w:autoRedefine/>
    <w:rsid w:val="00960D52"/>
    <w:pPr>
      <w:spacing w:after="100"/>
      <w:ind w:left="1680"/>
    </w:pPr>
  </w:style>
  <w:style w:type="paragraph" w:styleId="TOC9">
    <w:name w:val="toc 9"/>
    <w:basedOn w:val="a1"/>
    <w:next w:val="a1"/>
    <w:autoRedefine/>
    <w:rsid w:val="00960D52"/>
    <w:pPr>
      <w:spacing w:after="100"/>
      <w:ind w:left="1920"/>
    </w:pPr>
  </w:style>
  <w:style w:type="table" w:styleId="-1">
    <w:name w:val="Table 3D effects 1"/>
    <w:basedOn w:val="a3"/>
    <w:rsid w:val="00960D52"/>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960D52"/>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960D5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ביבליוגרפיה1"/>
    <w:basedOn w:val="a1"/>
    <w:next w:val="a1"/>
    <w:uiPriority w:val="37"/>
    <w:semiHidden/>
    <w:unhideWhenUsed/>
    <w:rsid w:val="00960D52"/>
  </w:style>
  <w:style w:type="paragraph" w:styleId="af1">
    <w:name w:val="Salutation"/>
    <w:basedOn w:val="a1"/>
    <w:next w:val="a1"/>
    <w:link w:val="af2"/>
    <w:rsid w:val="00960D52"/>
  </w:style>
  <w:style w:type="character" w:customStyle="1" w:styleId="af2">
    <w:name w:val="ברכה תו"/>
    <w:link w:val="af1"/>
    <w:rsid w:val="00960D52"/>
    <w:rPr>
      <w:rFonts w:cs="David"/>
      <w:noProof w:val="0"/>
      <w:sz w:val="24"/>
      <w:szCs w:val="24"/>
    </w:rPr>
  </w:style>
  <w:style w:type="paragraph" w:styleId="af3">
    <w:name w:val="Body Text"/>
    <w:basedOn w:val="a1"/>
    <w:link w:val="af4"/>
    <w:rsid w:val="00960D52"/>
    <w:pPr>
      <w:spacing w:after="120"/>
    </w:pPr>
  </w:style>
  <w:style w:type="character" w:customStyle="1" w:styleId="af4">
    <w:name w:val="גוף טקסט תו"/>
    <w:link w:val="af3"/>
    <w:semiHidden/>
    <w:rsid w:val="00960D52"/>
    <w:rPr>
      <w:rFonts w:cs="David"/>
      <w:noProof w:val="0"/>
      <w:sz w:val="24"/>
      <w:szCs w:val="24"/>
    </w:rPr>
  </w:style>
  <w:style w:type="paragraph" w:styleId="23">
    <w:name w:val="Body Text 2"/>
    <w:basedOn w:val="a1"/>
    <w:link w:val="24"/>
    <w:rsid w:val="00960D52"/>
    <w:pPr>
      <w:spacing w:after="120" w:line="480" w:lineRule="auto"/>
    </w:pPr>
  </w:style>
  <w:style w:type="character" w:customStyle="1" w:styleId="24">
    <w:name w:val="גוף טקסט 2 תו"/>
    <w:link w:val="23"/>
    <w:semiHidden/>
    <w:rsid w:val="00960D52"/>
    <w:rPr>
      <w:rFonts w:cs="David"/>
      <w:noProof w:val="0"/>
      <w:sz w:val="24"/>
      <w:szCs w:val="24"/>
    </w:rPr>
  </w:style>
  <w:style w:type="paragraph" w:styleId="33">
    <w:name w:val="Body Text 3"/>
    <w:basedOn w:val="a1"/>
    <w:link w:val="34"/>
    <w:rsid w:val="00960D52"/>
    <w:pPr>
      <w:spacing w:after="120"/>
    </w:pPr>
    <w:rPr>
      <w:sz w:val="16"/>
      <w:szCs w:val="16"/>
    </w:rPr>
  </w:style>
  <w:style w:type="character" w:customStyle="1" w:styleId="34">
    <w:name w:val="גוף טקסט 3 תו"/>
    <w:link w:val="33"/>
    <w:semiHidden/>
    <w:rsid w:val="00960D52"/>
    <w:rPr>
      <w:rFonts w:cs="David"/>
      <w:noProof w:val="0"/>
      <w:sz w:val="16"/>
      <w:szCs w:val="16"/>
    </w:rPr>
  </w:style>
  <w:style w:type="character" w:styleId="HTML1">
    <w:name w:val="HTML Sample"/>
    <w:rsid w:val="00960D52"/>
    <w:rPr>
      <w:rFonts w:ascii="Consolas" w:hAnsi="Consolas"/>
      <w:noProof w:val="0"/>
      <w:sz w:val="24"/>
      <w:szCs w:val="24"/>
    </w:rPr>
  </w:style>
  <w:style w:type="character" w:styleId="af5">
    <w:name w:val="Emphasis"/>
    <w:qFormat/>
    <w:rsid w:val="00960D52"/>
    <w:rPr>
      <w:i/>
      <w:iCs/>
      <w:noProof w:val="0"/>
    </w:rPr>
  </w:style>
  <w:style w:type="character" w:customStyle="1" w:styleId="15">
    <w:name w:val="הדגשה חזקה1"/>
    <w:uiPriority w:val="21"/>
    <w:qFormat/>
    <w:rsid w:val="00960D52"/>
    <w:rPr>
      <w:i/>
      <w:iCs/>
      <w:noProof w:val="0"/>
      <w:color w:val="4F81BD"/>
    </w:rPr>
  </w:style>
  <w:style w:type="character" w:customStyle="1" w:styleId="16">
    <w:name w:val="הדגשה עדינה1"/>
    <w:uiPriority w:val="19"/>
    <w:qFormat/>
    <w:rsid w:val="00960D52"/>
    <w:rPr>
      <w:i/>
      <w:iCs/>
      <w:noProof w:val="0"/>
      <w:color w:val="404040"/>
    </w:rPr>
  </w:style>
  <w:style w:type="paragraph" w:styleId="af6">
    <w:name w:val="List Continue"/>
    <w:basedOn w:val="a1"/>
    <w:rsid w:val="00960D52"/>
    <w:pPr>
      <w:spacing w:after="120"/>
      <w:ind w:left="283"/>
      <w:contextualSpacing/>
    </w:pPr>
  </w:style>
  <w:style w:type="paragraph" w:styleId="25">
    <w:name w:val="List Continue 2"/>
    <w:basedOn w:val="a1"/>
    <w:rsid w:val="00960D52"/>
    <w:pPr>
      <w:spacing w:after="120"/>
      <w:ind w:left="566"/>
      <w:contextualSpacing/>
    </w:pPr>
  </w:style>
  <w:style w:type="paragraph" w:styleId="35">
    <w:name w:val="List Continue 3"/>
    <w:basedOn w:val="a1"/>
    <w:rsid w:val="00960D52"/>
    <w:pPr>
      <w:spacing w:after="120"/>
      <w:ind w:left="849"/>
      <w:contextualSpacing/>
    </w:pPr>
  </w:style>
  <w:style w:type="paragraph" w:styleId="42">
    <w:name w:val="List Continue 4"/>
    <w:basedOn w:val="a1"/>
    <w:rsid w:val="00960D52"/>
    <w:pPr>
      <w:spacing w:after="120"/>
      <w:ind w:left="1132"/>
      <w:contextualSpacing/>
    </w:pPr>
  </w:style>
  <w:style w:type="paragraph" w:styleId="53">
    <w:name w:val="List Continue 5"/>
    <w:basedOn w:val="a1"/>
    <w:rsid w:val="00960D52"/>
    <w:pPr>
      <w:spacing w:after="120"/>
      <w:ind w:left="1415"/>
      <w:contextualSpacing/>
    </w:pPr>
  </w:style>
  <w:style w:type="character" w:customStyle="1" w:styleId="17">
    <w:name w:val="הפניה חזקה1"/>
    <w:uiPriority w:val="32"/>
    <w:qFormat/>
    <w:rsid w:val="00960D52"/>
    <w:rPr>
      <w:b/>
      <w:bCs/>
      <w:smallCaps/>
      <w:noProof w:val="0"/>
      <w:color w:val="4F81BD"/>
      <w:spacing w:val="5"/>
    </w:rPr>
  </w:style>
  <w:style w:type="character" w:styleId="af7">
    <w:name w:val="endnote reference"/>
    <w:rsid w:val="00960D52"/>
    <w:rPr>
      <w:noProof w:val="0"/>
      <w:vertAlign w:val="superscript"/>
    </w:rPr>
  </w:style>
  <w:style w:type="character" w:styleId="af8">
    <w:name w:val="footnote reference"/>
    <w:rsid w:val="00960D52"/>
    <w:rPr>
      <w:noProof w:val="0"/>
      <w:vertAlign w:val="superscript"/>
    </w:rPr>
  </w:style>
  <w:style w:type="character" w:customStyle="1" w:styleId="18">
    <w:name w:val="הפניה עדינה1"/>
    <w:uiPriority w:val="31"/>
    <w:qFormat/>
    <w:rsid w:val="00960D52"/>
    <w:rPr>
      <w:smallCaps/>
      <w:noProof w:val="0"/>
      <w:color w:val="5A5A5A"/>
    </w:rPr>
  </w:style>
  <w:style w:type="table" w:customStyle="1" w:styleId="19">
    <w:name w:val="הצללה בהירה1"/>
    <w:basedOn w:val="a3"/>
    <w:uiPriority w:val="60"/>
    <w:semiHidden/>
    <w:unhideWhenUsed/>
    <w:rsid w:val="00960D5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960D5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960D5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960D5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960D5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960D5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960D5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960D5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960D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960D5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960D5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960D5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960D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960D5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960D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a">
    <w:name w:val="הצללה צבעונית1"/>
    <w:basedOn w:val="a3"/>
    <w:uiPriority w:val="71"/>
    <w:semiHidden/>
    <w:unhideWhenUsed/>
    <w:rsid w:val="00960D5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960D5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960D5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960D5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960D5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960D5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960D5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960D52"/>
    <w:rPr>
      <w:b/>
      <w:bCs/>
      <w:noProof w:val="0"/>
    </w:rPr>
  </w:style>
  <w:style w:type="paragraph" w:styleId="afa">
    <w:name w:val="Signature"/>
    <w:basedOn w:val="a1"/>
    <w:link w:val="afb"/>
    <w:rsid w:val="00960D52"/>
    <w:pPr>
      <w:ind w:left="4252"/>
    </w:pPr>
  </w:style>
  <w:style w:type="character" w:customStyle="1" w:styleId="afb">
    <w:name w:val="חתימה תו"/>
    <w:link w:val="afa"/>
    <w:semiHidden/>
    <w:rsid w:val="00960D52"/>
    <w:rPr>
      <w:rFonts w:cs="David"/>
      <w:noProof w:val="0"/>
      <w:sz w:val="24"/>
      <w:szCs w:val="24"/>
    </w:rPr>
  </w:style>
  <w:style w:type="paragraph" w:styleId="afc">
    <w:name w:val="E-mail Signature"/>
    <w:basedOn w:val="a1"/>
    <w:link w:val="afd"/>
    <w:rsid w:val="00960D52"/>
  </w:style>
  <w:style w:type="character" w:customStyle="1" w:styleId="afd">
    <w:name w:val="חתימת דואר אלקטרוני תו"/>
    <w:link w:val="afc"/>
    <w:semiHidden/>
    <w:rsid w:val="00960D52"/>
    <w:rPr>
      <w:rFonts w:cs="David"/>
      <w:noProof w:val="0"/>
      <w:sz w:val="24"/>
      <w:szCs w:val="24"/>
    </w:rPr>
  </w:style>
  <w:style w:type="table" w:styleId="afe">
    <w:name w:val="Table Elegant"/>
    <w:basedOn w:val="a3"/>
    <w:rsid w:val="00960D52"/>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960D52"/>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ubtle 1"/>
    <w:basedOn w:val="a3"/>
    <w:rsid w:val="00960D52"/>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960D52"/>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960D52"/>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rsid w:val="00960D52"/>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960D52"/>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960D52"/>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Colorful 1"/>
    <w:basedOn w:val="a3"/>
    <w:rsid w:val="00960D52"/>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960D52"/>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960D52"/>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e">
    <w:name w:val="Table Classic 1"/>
    <w:basedOn w:val="a3"/>
    <w:rsid w:val="00960D5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960D5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960D52"/>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960D52"/>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960D5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960D5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960D5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960D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960D52"/>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f">
    <w:name w:val="Table Web 1"/>
    <w:basedOn w:val="a3"/>
    <w:rsid w:val="00960D52"/>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960D52"/>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960D52"/>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960D5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960D52"/>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960D52"/>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960D52"/>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960D52"/>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960D52"/>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960D52"/>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960D5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960D52"/>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960D52"/>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960D52"/>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960D52"/>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960D52"/>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960D52"/>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960D5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960D5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960D52"/>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960D52"/>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960D52"/>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960D52"/>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960D52"/>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960D5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960D5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960D5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960D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960D52"/>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960D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960D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960D5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960D52"/>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960D52"/>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960D52"/>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960D52"/>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960D52"/>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960D52"/>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960D5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960D52"/>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960D52"/>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960D52"/>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960D52"/>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960D52"/>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960D52"/>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960D52"/>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960D52"/>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960D52"/>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960D52"/>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960D52"/>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960D52"/>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960D52"/>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960D5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960D5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960D52"/>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960D52"/>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960D52"/>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960D5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960D5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960D5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960D52"/>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960D52"/>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960D52"/>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960D52"/>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960D52"/>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960D52"/>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960D5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960D5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960D5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960D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960D52"/>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960D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960D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960D5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960D5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960D52"/>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960D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960D52"/>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960D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960D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960D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960D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960D52"/>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960D52"/>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960D52"/>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960D52"/>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960D52"/>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960D52"/>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960D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960D52"/>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960D52"/>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960D52"/>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960D52"/>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960D52"/>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960D52"/>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960D52"/>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960D52"/>
    <w:rPr>
      <w:sz w:val="20"/>
      <w:szCs w:val="20"/>
    </w:rPr>
  </w:style>
  <w:style w:type="character" w:customStyle="1" w:styleId="aff3">
    <w:name w:val="טקסט הערת סיום תו"/>
    <w:link w:val="aff2"/>
    <w:semiHidden/>
    <w:rsid w:val="00960D52"/>
    <w:rPr>
      <w:rFonts w:cs="David"/>
      <w:noProof w:val="0"/>
    </w:rPr>
  </w:style>
  <w:style w:type="paragraph" w:styleId="aff4">
    <w:name w:val="footnote text"/>
    <w:basedOn w:val="a1"/>
    <w:link w:val="aff5"/>
    <w:rsid w:val="00960D52"/>
    <w:rPr>
      <w:sz w:val="20"/>
      <w:szCs w:val="20"/>
    </w:rPr>
  </w:style>
  <w:style w:type="character" w:customStyle="1" w:styleId="aff5">
    <w:name w:val="טקסט הערת שוליים תו"/>
    <w:link w:val="aff4"/>
    <w:semiHidden/>
    <w:rsid w:val="00960D52"/>
    <w:rPr>
      <w:rFonts w:cs="David"/>
      <w:noProof w:val="0"/>
    </w:rPr>
  </w:style>
  <w:style w:type="paragraph" w:styleId="aff6">
    <w:name w:val="macro"/>
    <w:link w:val="aff7"/>
    <w:rsid w:val="00960D52"/>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960D52"/>
    <w:rPr>
      <w:rFonts w:ascii="Consolas" w:hAnsi="Consolas" w:cs="David"/>
      <w:noProof w:val="0"/>
    </w:rPr>
  </w:style>
  <w:style w:type="paragraph" w:styleId="aff8">
    <w:name w:val="Plain Text"/>
    <w:basedOn w:val="a1"/>
    <w:link w:val="aff9"/>
    <w:rsid w:val="00960D52"/>
    <w:rPr>
      <w:rFonts w:ascii="Consolas" w:hAnsi="Consolas"/>
      <w:sz w:val="21"/>
      <w:szCs w:val="21"/>
    </w:rPr>
  </w:style>
  <w:style w:type="character" w:customStyle="1" w:styleId="aff9">
    <w:name w:val="טקסט רגיל תו"/>
    <w:link w:val="aff8"/>
    <w:semiHidden/>
    <w:rsid w:val="00960D52"/>
    <w:rPr>
      <w:rFonts w:ascii="Consolas" w:hAnsi="Consolas" w:cs="David"/>
      <w:noProof w:val="0"/>
      <w:sz w:val="21"/>
      <w:szCs w:val="21"/>
    </w:rPr>
  </w:style>
  <w:style w:type="character" w:customStyle="1" w:styleId="1f0">
    <w:name w:val="כותר הספר1"/>
    <w:uiPriority w:val="33"/>
    <w:qFormat/>
    <w:rsid w:val="00960D52"/>
    <w:rPr>
      <w:b/>
      <w:bCs/>
      <w:i/>
      <w:iCs/>
      <w:noProof w:val="0"/>
      <w:spacing w:val="5"/>
    </w:rPr>
  </w:style>
  <w:style w:type="character" w:customStyle="1" w:styleId="10">
    <w:name w:val="כותרת 1 תו"/>
    <w:link w:val="1"/>
    <w:rsid w:val="00960D52"/>
    <w:rPr>
      <w:rFonts w:ascii="Cambria" w:eastAsia="Times New Roman" w:hAnsi="Cambria" w:cs="Times New Roman"/>
      <w:noProof w:val="0"/>
      <w:color w:val="365F91"/>
      <w:sz w:val="32"/>
      <w:szCs w:val="32"/>
    </w:rPr>
  </w:style>
  <w:style w:type="character" w:customStyle="1" w:styleId="22">
    <w:name w:val="כותרת 2 תו"/>
    <w:link w:val="21"/>
    <w:semiHidden/>
    <w:rsid w:val="00960D52"/>
    <w:rPr>
      <w:rFonts w:ascii="Cambria" w:eastAsia="Times New Roman" w:hAnsi="Cambria" w:cs="Times New Roman"/>
      <w:noProof w:val="0"/>
      <w:color w:val="365F91"/>
      <w:sz w:val="26"/>
      <w:szCs w:val="26"/>
    </w:rPr>
  </w:style>
  <w:style w:type="character" w:customStyle="1" w:styleId="52">
    <w:name w:val="כותרת 5 תו"/>
    <w:link w:val="51"/>
    <w:semiHidden/>
    <w:rsid w:val="00960D52"/>
    <w:rPr>
      <w:rFonts w:ascii="Cambria" w:eastAsia="Times New Roman" w:hAnsi="Cambria" w:cs="Times New Roman"/>
      <w:noProof w:val="0"/>
      <w:color w:val="365F91"/>
      <w:sz w:val="24"/>
      <w:szCs w:val="24"/>
    </w:rPr>
  </w:style>
  <w:style w:type="character" w:customStyle="1" w:styleId="60">
    <w:name w:val="כותרת 6 תו"/>
    <w:link w:val="6"/>
    <w:semiHidden/>
    <w:rsid w:val="00960D52"/>
    <w:rPr>
      <w:rFonts w:ascii="Cambria" w:eastAsia="Times New Roman" w:hAnsi="Cambria" w:cs="Times New Roman"/>
      <w:noProof w:val="0"/>
      <w:color w:val="243F60"/>
      <w:sz w:val="24"/>
      <w:szCs w:val="24"/>
    </w:rPr>
  </w:style>
  <w:style w:type="character" w:customStyle="1" w:styleId="70">
    <w:name w:val="כותרת 7 תו"/>
    <w:link w:val="7"/>
    <w:semiHidden/>
    <w:rsid w:val="00960D52"/>
    <w:rPr>
      <w:rFonts w:ascii="Cambria" w:eastAsia="Times New Roman" w:hAnsi="Cambria" w:cs="Times New Roman"/>
      <w:i/>
      <w:iCs/>
      <w:noProof w:val="0"/>
      <w:color w:val="243F60"/>
      <w:sz w:val="24"/>
      <w:szCs w:val="24"/>
    </w:rPr>
  </w:style>
  <w:style w:type="character" w:customStyle="1" w:styleId="80">
    <w:name w:val="כותרת 8 תו"/>
    <w:link w:val="8"/>
    <w:semiHidden/>
    <w:rsid w:val="00960D52"/>
    <w:rPr>
      <w:rFonts w:ascii="Cambria" w:eastAsia="Times New Roman" w:hAnsi="Cambria" w:cs="Times New Roman"/>
      <w:noProof w:val="0"/>
      <w:color w:val="272727"/>
      <w:sz w:val="21"/>
      <w:szCs w:val="21"/>
    </w:rPr>
  </w:style>
  <w:style w:type="character" w:customStyle="1" w:styleId="90">
    <w:name w:val="כותרת 9 תו"/>
    <w:link w:val="9"/>
    <w:semiHidden/>
    <w:rsid w:val="00960D52"/>
    <w:rPr>
      <w:rFonts w:ascii="Cambria" w:eastAsia="Times New Roman" w:hAnsi="Cambria" w:cs="Times New Roman"/>
      <w:i/>
      <w:iCs/>
      <w:noProof w:val="0"/>
      <w:color w:val="272727"/>
      <w:sz w:val="21"/>
      <w:szCs w:val="21"/>
    </w:rPr>
  </w:style>
  <w:style w:type="paragraph" w:styleId="affa">
    <w:name w:val="index heading"/>
    <w:basedOn w:val="a1"/>
    <w:next w:val="Index1"/>
    <w:rsid w:val="00960D52"/>
    <w:rPr>
      <w:rFonts w:ascii="Cambria" w:hAnsi="Cambria" w:cs="Times New Roman"/>
      <w:b/>
      <w:bCs/>
    </w:rPr>
  </w:style>
  <w:style w:type="paragraph" w:styleId="affb">
    <w:name w:val="Note Heading"/>
    <w:basedOn w:val="a1"/>
    <w:next w:val="a1"/>
    <w:link w:val="affc"/>
    <w:rsid w:val="00960D52"/>
  </w:style>
  <w:style w:type="character" w:customStyle="1" w:styleId="affc">
    <w:name w:val="כותרת הערות תו"/>
    <w:link w:val="affb"/>
    <w:semiHidden/>
    <w:rsid w:val="00960D52"/>
    <w:rPr>
      <w:rFonts w:cs="David"/>
      <w:noProof w:val="0"/>
      <w:sz w:val="24"/>
      <w:szCs w:val="24"/>
    </w:rPr>
  </w:style>
  <w:style w:type="paragraph" w:styleId="affd">
    <w:name w:val="Title"/>
    <w:basedOn w:val="a1"/>
    <w:next w:val="a1"/>
    <w:link w:val="affe"/>
    <w:qFormat/>
    <w:rsid w:val="00960D52"/>
    <w:pPr>
      <w:contextualSpacing/>
    </w:pPr>
    <w:rPr>
      <w:rFonts w:ascii="Cambria" w:hAnsi="Cambria" w:cs="Times New Roman"/>
      <w:spacing w:val="-10"/>
      <w:kern w:val="28"/>
      <w:sz w:val="56"/>
      <w:szCs w:val="56"/>
    </w:rPr>
  </w:style>
  <w:style w:type="character" w:customStyle="1" w:styleId="affe">
    <w:name w:val="כותרת טקסט תו"/>
    <w:link w:val="affd"/>
    <w:rsid w:val="00960D52"/>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960D52"/>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960D52"/>
    <w:rPr>
      <w:rFonts w:ascii="Calibri" w:eastAsia="Times New Roman" w:hAnsi="Calibri" w:cs="Arial"/>
      <w:noProof w:val="0"/>
      <w:color w:val="5A5A5A"/>
      <w:spacing w:val="15"/>
      <w:sz w:val="22"/>
      <w:szCs w:val="22"/>
    </w:rPr>
  </w:style>
  <w:style w:type="paragraph" w:styleId="afff1">
    <w:name w:val="Message Header"/>
    <w:basedOn w:val="a1"/>
    <w:link w:val="afff2"/>
    <w:rsid w:val="00960D5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960D52"/>
    <w:rPr>
      <w:rFonts w:ascii="Cambria" w:eastAsia="Times New Roman" w:hAnsi="Cambria" w:cs="Times New Roman"/>
      <w:noProof w:val="0"/>
      <w:sz w:val="24"/>
      <w:szCs w:val="24"/>
      <w:shd w:val="pct20" w:color="auto" w:fill="auto"/>
    </w:rPr>
  </w:style>
  <w:style w:type="paragraph" w:styleId="afff3">
    <w:name w:val="toa heading"/>
    <w:basedOn w:val="a1"/>
    <w:next w:val="a1"/>
    <w:rsid w:val="00960D52"/>
    <w:pPr>
      <w:spacing w:before="120"/>
    </w:pPr>
    <w:rPr>
      <w:rFonts w:ascii="Cambria" w:hAnsi="Cambria" w:cs="Times New Roman"/>
      <w:b/>
      <w:bCs/>
    </w:rPr>
  </w:style>
  <w:style w:type="paragraph" w:customStyle="1" w:styleId="1f1">
    <w:name w:val="כותרת תוכן עניינים1"/>
    <w:basedOn w:val="1"/>
    <w:next w:val="a1"/>
    <w:uiPriority w:val="39"/>
    <w:qFormat/>
    <w:rsid w:val="00960D52"/>
    <w:pPr>
      <w:outlineLvl w:val="9"/>
    </w:pPr>
  </w:style>
  <w:style w:type="paragraph" w:styleId="afff4">
    <w:name w:val="caption"/>
    <w:basedOn w:val="a1"/>
    <w:next w:val="a1"/>
    <w:qFormat/>
    <w:rsid w:val="00960D52"/>
    <w:pPr>
      <w:spacing w:after="200"/>
    </w:pPr>
    <w:rPr>
      <w:i/>
      <w:iCs/>
      <w:color w:val="1F497D"/>
      <w:sz w:val="18"/>
      <w:szCs w:val="18"/>
    </w:rPr>
  </w:style>
  <w:style w:type="paragraph" w:styleId="afff5">
    <w:name w:val="Body Text Indent"/>
    <w:basedOn w:val="a1"/>
    <w:link w:val="afff6"/>
    <w:rsid w:val="00960D52"/>
    <w:pPr>
      <w:spacing w:after="120"/>
      <w:ind w:left="283"/>
    </w:pPr>
  </w:style>
  <w:style w:type="character" w:customStyle="1" w:styleId="afff6">
    <w:name w:val="כניסה בגוף טקסט תו"/>
    <w:link w:val="afff5"/>
    <w:semiHidden/>
    <w:rsid w:val="00960D52"/>
    <w:rPr>
      <w:rFonts w:cs="David"/>
      <w:noProof w:val="0"/>
      <w:sz w:val="24"/>
      <w:szCs w:val="24"/>
    </w:rPr>
  </w:style>
  <w:style w:type="paragraph" w:styleId="2b">
    <w:name w:val="Body Text Indent 2"/>
    <w:basedOn w:val="a1"/>
    <w:link w:val="2c"/>
    <w:rsid w:val="00960D52"/>
    <w:pPr>
      <w:spacing w:after="120" w:line="480" w:lineRule="auto"/>
      <w:ind w:left="283"/>
    </w:pPr>
  </w:style>
  <w:style w:type="character" w:customStyle="1" w:styleId="2c">
    <w:name w:val="כניסה בגוף טקסט 2 תו"/>
    <w:link w:val="2b"/>
    <w:semiHidden/>
    <w:rsid w:val="00960D52"/>
    <w:rPr>
      <w:rFonts w:cs="David"/>
      <w:noProof w:val="0"/>
      <w:sz w:val="24"/>
      <w:szCs w:val="24"/>
    </w:rPr>
  </w:style>
  <w:style w:type="paragraph" w:styleId="3a">
    <w:name w:val="Body Text Indent 3"/>
    <w:basedOn w:val="a1"/>
    <w:link w:val="3b"/>
    <w:rsid w:val="00960D52"/>
    <w:pPr>
      <w:spacing w:after="120"/>
      <w:ind w:left="283"/>
    </w:pPr>
    <w:rPr>
      <w:sz w:val="16"/>
      <w:szCs w:val="16"/>
    </w:rPr>
  </w:style>
  <w:style w:type="character" w:customStyle="1" w:styleId="3b">
    <w:name w:val="כניסה בגוף טקסט 3 תו"/>
    <w:link w:val="3a"/>
    <w:semiHidden/>
    <w:rsid w:val="00960D52"/>
    <w:rPr>
      <w:rFonts w:cs="David"/>
      <w:noProof w:val="0"/>
      <w:sz w:val="16"/>
      <w:szCs w:val="16"/>
    </w:rPr>
  </w:style>
  <w:style w:type="paragraph" w:styleId="afff7">
    <w:name w:val="Normal Indent"/>
    <w:basedOn w:val="a1"/>
    <w:rsid w:val="00960D52"/>
    <w:pPr>
      <w:ind w:left="720"/>
    </w:pPr>
  </w:style>
  <w:style w:type="paragraph" w:styleId="afff8">
    <w:name w:val="Body Text First Indent"/>
    <w:basedOn w:val="af3"/>
    <w:link w:val="afff9"/>
    <w:rsid w:val="00960D52"/>
    <w:pPr>
      <w:spacing w:after="0"/>
      <w:ind w:firstLine="360"/>
    </w:pPr>
  </w:style>
  <w:style w:type="character" w:customStyle="1" w:styleId="afff9">
    <w:name w:val="כניסת שורה ראשונה בגוף טקסט תו"/>
    <w:link w:val="afff8"/>
    <w:rsid w:val="00960D52"/>
    <w:rPr>
      <w:rFonts w:cs="David"/>
      <w:noProof w:val="0"/>
      <w:sz w:val="24"/>
      <w:szCs w:val="24"/>
    </w:rPr>
  </w:style>
  <w:style w:type="paragraph" w:styleId="2d">
    <w:name w:val="Body Text First Indent 2"/>
    <w:basedOn w:val="afff5"/>
    <w:link w:val="2e"/>
    <w:rsid w:val="00960D52"/>
    <w:pPr>
      <w:spacing w:after="0"/>
      <w:ind w:left="360" w:firstLine="360"/>
    </w:pPr>
  </w:style>
  <w:style w:type="character" w:customStyle="1" w:styleId="2e">
    <w:name w:val="כניסת שורה ראשונה בגוף טקסט 2 תו"/>
    <w:link w:val="2d"/>
    <w:semiHidden/>
    <w:rsid w:val="00960D52"/>
    <w:rPr>
      <w:rFonts w:cs="David"/>
      <w:noProof w:val="0"/>
      <w:sz w:val="24"/>
      <w:szCs w:val="24"/>
    </w:rPr>
  </w:style>
  <w:style w:type="paragraph" w:styleId="HTML2">
    <w:name w:val="HTML Address"/>
    <w:basedOn w:val="a1"/>
    <w:link w:val="HTML3"/>
    <w:rsid w:val="00960D52"/>
    <w:rPr>
      <w:i/>
      <w:iCs/>
    </w:rPr>
  </w:style>
  <w:style w:type="character" w:customStyle="1" w:styleId="HTML3">
    <w:name w:val="כתובת HTML תו"/>
    <w:link w:val="HTML2"/>
    <w:semiHidden/>
    <w:rsid w:val="00960D52"/>
    <w:rPr>
      <w:rFonts w:cs="David"/>
      <w:i/>
      <w:iCs/>
      <w:noProof w:val="0"/>
      <w:sz w:val="24"/>
      <w:szCs w:val="24"/>
    </w:rPr>
  </w:style>
  <w:style w:type="paragraph" w:styleId="afffa">
    <w:name w:val="envelope address"/>
    <w:basedOn w:val="a1"/>
    <w:rsid w:val="00960D52"/>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960D52"/>
    <w:rPr>
      <w:rFonts w:ascii="Cambria" w:hAnsi="Cambria" w:cs="Times New Roman"/>
      <w:sz w:val="20"/>
      <w:szCs w:val="20"/>
    </w:rPr>
  </w:style>
  <w:style w:type="paragraph" w:customStyle="1" w:styleId="1f2">
    <w:name w:val="ללא מרווח1"/>
    <w:uiPriority w:val="1"/>
    <w:qFormat/>
    <w:rsid w:val="00960D52"/>
    <w:pPr>
      <w:bidi/>
    </w:pPr>
    <w:rPr>
      <w:rFonts w:cs="David"/>
      <w:sz w:val="24"/>
      <w:szCs w:val="24"/>
      <w:lang w:bidi="he-IL"/>
    </w:rPr>
  </w:style>
  <w:style w:type="character" w:styleId="HTML4">
    <w:name w:val="HTML Typewriter"/>
    <w:rsid w:val="00960D52"/>
    <w:rPr>
      <w:rFonts w:ascii="Consolas" w:hAnsi="Consolas"/>
      <w:noProof w:val="0"/>
      <w:sz w:val="20"/>
      <w:szCs w:val="20"/>
    </w:rPr>
  </w:style>
  <w:style w:type="paragraph" w:styleId="afffc">
    <w:name w:val="Document Map"/>
    <w:basedOn w:val="a1"/>
    <w:link w:val="afffd"/>
    <w:rsid w:val="00960D52"/>
    <w:rPr>
      <w:rFonts w:ascii="Tahoma" w:hAnsi="Tahoma" w:cs="Tahoma"/>
      <w:sz w:val="16"/>
      <w:szCs w:val="16"/>
    </w:rPr>
  </w:style>
  <w:style w:type="character" w:customStyle="1" w:styleId="afffd">
    <w:name w:val="מפת מסמך תו"/>
    <w:link w:val="afffc"/>
    <w:semiHidden/>
    <w:rsid w:val="00960D52"/>
    <w:rPr>
      <w:rFonts w:ascii="Tahoma" w:hAnsi="Tahoma" w:cs="Tahoma"/>
      <w:noProof w:val="0"/>
      <w:sz w:val="16"/>
      <w:szCs w:val="16"/>
    </w:rPr>
  </w:style>
  <w:style w:type="character" w:styleId="HTML5">
    <w:name w:val="HTML Keyboard"/>
    <w:rsid w:val="00960D52"/>
    <w:rPr>
      <w:rFonts w:ascii="Consolas" w:hAnsi="Consolas"/>
      <w:noProof w:val="0"/>
      <w:sz w:val="20"/>
      <w:szCs w:val="20"/>
    </w:rPr>
  </w:style>
  <w:style w:type="paragraph" w:styleId="afffe">
    <w:name w:val="annotation subject"/>
    <w:basedOn w:val="aa"/>
    <w:next w:val="aa"/>
    <w:link w:val="affff"/>
    <w:rsid w:val="00960D52"/>
    <w:rPr>
      <w:rFonts w:cs="David"/>
      <w:b/>
      <w:bCs/>
      <w:sz w:val="20"/>
      <w:szCs w:val="20"/>
    </w:rPr>
  </w:style>
  <w:style w:type="character" w:customStyle="1" w:styleId="ab">
    <w:name w:val="טקסט הערה תו"/>
    <w:link w:val="aa"/>
    <w:semiHidden/>
    <w:rsid w:val="00960D52"/>
    <w:rPr>
      <w:noProof w:val="0"/>
      <w:sz w:val="24"/>
      <w:szCs w:val="24"/>
    </w:rPr>
  </w:style>
  <w:style w:type="character" w:customStyle="1" w:styleId="affff">
    <w:name w:val="נושא הערה תו"/>
    <w:link w:val="afffe"/>
    <w:semiHidden/>
    <w:rsid w:val="00960D52"/>
    <w:rPr>
      <w:rFonts w:cs="David"/>
      <w:b/>
      <w:bCs/>
      <w:noProof w:val="0"/>
      <w:sz w:val="24"/>
      <w:szCs w:val="24"/>
    </w:rPr>
  </w:style>
  <w:style w:type="table" w:styleId="affff0">
    <w:name w:val="Table Theme"/>
    <w:basedOn w:val="a3"/>
    <w:rsid w:val="00960D5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960D52"/>
    <w:pPr>
      <w:ind w:left="4252"/>
    </w:pPr>
  </w:style>
  <w:style w:type="character" w:customStyle="1" w:styleId="affff2">
    <w:name w:val="סיום תו"/>
    <w:link w:val="affff1"/>
    <w:semiHidden/>
    <w:rsid w:val="00960D52"/>
    <w:rPr>
      <w:rFonts w:cs="David"/>
      <w:noProof w:val="0"/>
      <w:sz w:val="24"/>
      <w:szCs w:val="24"/>
    </w:rPr>
  </w:style>
  <w:style w:type="table" w:styleId="1f3">
    <w:name w:val="Table Columns 1"/>
    <w:basedOn w:val="a3"/>
    <w:rsid w:val="00960D52"/>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960D52"/>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960D52"/>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960D52"/>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960D52"/>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4">
    <w:name w:val="ציטוט1"/>
    <w:basedOn w:val="a1"/>
    <w:next w:val="a1"/>
    <w:link w:val="QuoteChar"/>
    <w:uiPriority w:val="29"/>
    <w:qFormat/>
    <w:rsid w:val="00960D52"/>
    <w:pPr>
      <w:spacing w:before="200" w:after="160"/>
      <w:ind w:left="864" w:right="864"/>
      <w:jc w:val="center"/>
    </w:pPr>
    <w:rPr>
      <w:i/>
      <w:iCs/>
      <w:color w:val="404040"/>
    </w:rPr>
  </w:style>
  <w:style w:type="character" w:customStyle="1" w:styleId="QuoteChar">
    <w:name w:val="Quote Char"/>
    <w:link w:val="1f4"/>
    <w:uiPriority w:val="29"/>
    <w:rsid w:val="00960D52"/>
    <w:rPr>
      <w:rFonts w:cs="David"/>
      <w:i/>
      <w:iCs/>
      <w:noProof w:val="0"/>
      <w:color w:val="404040"/>
      <w:sz w:val="24"/>
      <w:szCs w:val="24"/>
    </w:rPr>
  </w:style>
  <w:style w:type="paragraph" w:customStyle="1" w:styleId="1f5">
    <w:name w:val="ציטוט חזק1"/>
    <w:basedOn w:val="a1"/>
    <w:next w:val="a1"/>
    <w:link w:val="IntenseQuoteChar"/>
    <w:uiPriority w:val="30"/>
    <w:qFormat/>
    <w:rsid w:val="00960D52"/>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960D52"/>
    <w:rPr>
      <w:rFonts w:cs="David"/>
      <w:i/>
      <w:iCs/>
      <w:noProof w:val="0"/>
      <w:color w:val="4F81BD"/>
      <w:sz w:val="24"/>
      <w:szCs w:val="24"/>
    </w:rPr>
  </w:style>
  <w:style w:type="character" w:styleId="HTML6">
    <w:name w:val="HTML Acronym"/>
    <w:rsid w:val="00960D52"/>
    <w:rPr>
      <w:noProof w:val="0"/>
    </w:rPr>
  </w:style>
  <w:style w:type="paragraph" w:styleId="affff3">
    <w:name w:val="List"/>
    <w:basedOn w:val="a1"/>
    <w:rsid w:val="00960D52"/>
    <w:pPr>
      <w:ind w:left="283" w:hanging="283"/>
      <w:contextualSpacing/>
    </w:pPr>
  </w:style>
  <w:style w:type="paragraph" w:styleId="2f0">
    <w:name w:val="List 2"/>
    <w:basedOn w:val="a1"/>
    <w:rsid w:val="00960D52"/>
    <w:pPr>
      <w:ind w:left="566" w:hanging="283"/>
      <w:contextualSpacing/>
    </w:pPr>
  </w:style>
  <w:style w:type="paragraph" w:styleId="3d">
    <w:name w:val="List 3"/>
    <w:basedOn w:val="a1"/>
    <w:rsid w:val="00960D52"/>
    <w:pPr>
      <w:ind w:left="849" w:hanging="283"/>
      <w:contextualSpacing/>
    </w:pPr>
  </w:style>
  <w:style w:type="paragraph" w:styleId="45">
    <w:name w:val="List 4"/>
    <w:basedOn w:val="a1"/>
    <w:rsid w:val="00960D52"/>
    <w:pPr>
      <w:ind w:left="1132" w:hanging="283"/>
      <w:contextualSpacing/>
    </w:pPr>
  </w:style>
  <w:style w:type="paragraph" w:styleId="55">
    <w:name w:val="List 5"/>
    <w:basedOn w:val="a1"/>
    <w:rsid w:val="00960D52"/>
    <w:pPr>
      <w:ind w:left="1415" w:hanging="283"/>
      <w:contextualSpacing/>
    </w:pPr>
  </w:style>
  <w:style w:type="table" w:customStyle="1" w:styleId="1f6">
    <w:name w:val="רשימה בהירה1"/>
    <w:basedOn w:val="a3"/>
    <w:uiPriority w:val="61"/>
    <w:semiHidden/>
    <w:unhideWhenUsed/>
    <w:rsid w:val="00960D5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960D5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960D5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960D5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960D5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960D5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960D5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960D52"/>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960D52"/>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960D52"/>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960D52"/>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960D52"/>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960D52"/>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960D52"/>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960D52"/>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960D5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960D5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960D5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960D5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960D5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960D5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960D5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960D5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960D5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960D5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960D5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960D5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960D5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960D5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960D5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960D5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960D5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960D5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960D5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960D5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960D5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960D52"/>
    <w:pPr>
      <w:numPr>
        <w:numId w:val="2"/>
      </w:numPr>
      <w:contextualSpacing/>
    </w:pPr>
  </w:style>
  <w:style w:type="paragraph" w:styleId="2">
    <w:name w:val="List Number 2"/>
    <w:basedOn w:val="a1"/>
    <w:rsid w:val="00960D52"/>
    <w:pPr>
      <w:numPr>
        <w:numId w:val="3"/>
      </w:numPr>
      <w:contextualSpacing/>
    </w:pPr>
  </w:style>
  <w:style w:type="paragraph" w:styleId="3">
    <w:name w:val="List Number 3"/>
    <w:basedOn w:val="a1"/>
    <w:rsid w:val="00960D52"/>
    <w:pPr>
      <w:numPr>
        <w:numId w:val="4"/>
      </w:numPr>
      <w:contextualSpacing/>
    </w:pPr>
  </w:style>
  <w:style w:type="paragraph" w:styleId="4">
    <w:name w:val="List Number 4"/>
    <w:basedOn w:val="a1"/>
    <w:rsid w:val="00960D52"/>
    <w:pPr>
      <w:numPr>
        <w:numId w:val="5"/>
      </w:numPr>
      <w:contextualSpacing/>
    </w:pPr>
  </w:style>
  <w:style w:type="paragraph" w:styleId="5">
    <w:name w:val="List Number 5"/>
    <w:basedOn w:val="a1"/>
    <w:rsid w:val="00960D52"/>
    <w:pPr>
      <w:numPr>
        <w:numId w:val="6"/>
      </w:numPr>
      <w:contextualSpacing/>
    </w:pPr>
  </w:style>
  <w:style w:type="paragraph" w:styleId="a0">
    <w:name w:val="List Bullet"/>
    <w:basedOn w:val="a1"/>
    <w:rsid w:val="00960D52"/>
    <w:pPr>
      <w:numPr>
        <w:numId w:val="7"/>
      </w:numPr>
      <w:contextualSpacing/>
    </w:pPr>
  </w:style>
  <w:style w:type="paragraph" w:styleId="20">
    <w:name w:val="List Bullet 2"/>
    <w:basedOn w:val="a1"/>
    <w:rsid w:val="00960D52"/>
    <w:pPr>
      <w:numPr>
        <w:numId w:val="8"/>
      </w:numPr>
      <w:contextualSpacing/>
    </w:pPr>
  </w:style>
  <w:style w:type="paragraph" w:styleId="30">
    <w:name w:val="List Bullet 3"/>
    <w:basedOn w:val="a1"/>
    <w:rsid w:val="00960D52"/>
    <w:pPr>
      <w:numPr>
        <w:numId w:val="9"/>
      </w:numPr>
      <w:contextualSpacing/>
    </w:pPr>
  </w:style>
  <w:style w:type="paragraph" w:styleId="40">
    <w:name w:val="List Bullet 4"/>
    <w:basedOn w:val="a1"/>
    <w:rsid w:val="00960D52"/>
    <w:pPr>
      <w:numPr>
        <w:numId w:val="10"/>
      </w:numPr>
      <w:contextualSpacing/>
    </w:pPr>
  </w:style>
  <w:style w:type="paragraph" w:styleId="50">
    <w:name w:val="List Bullet 5"/>
    <w:basedOn w:val="a1"/>
    <w:rsid w:val="00960D52"/>
    <w:pPr>
      <w:numPr>
        <w:numId w:val="11"/>
      </w:numPr>
      <w:contextualSpacing/>
    </w:pPr>
  </w:style>
  <w:style w:type="table" w:customStyle="1" w:styleId="1f9">
    <w:name w:val="רשימה צבעונית1"/>
    <w:basedOn w:val="a3"/>
    <w:uiPriority w:val="72"/>
    <w:semiHidden/>
    <w:unhideWhenUsed/>
    <w:rsid w:val="00960D5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960D5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960D5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960D5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960D5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960D5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960D5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960D52"/>
  </w:style>
  <w:style w:type="paragraph" w:styleId="affff5">
    <w:name w:val="table of authorities"/>
    <w:basedOn w:val="a1"/>
    <w:next w:val="a1"/>
    <w:rsid w:val="00960D52"/>
    <w:pPr>
      <w:ind w:left="240" w:hanging="240"/>
    </w:pPr>
  </w:style>
  <w:style w:type="table" w:customStyle="1" w:styleId="1fa">
    <w:name w:val="רשת בהירה1"/>
    <w:basedOn w:val="a3"/>
    <w:uiPriority w:val="62"/>
    <w:semiHidden/>
    <w:unhideWhenUsed/>
    <w:rsid w:val="00960D5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960D5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960D5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960D5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960D5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960D5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960D5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960D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960D5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960D5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960D5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960D5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960D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960D5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960D5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960D5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960D5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960D5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960D5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960D5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960D5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960D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960D52"/>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960D52"/>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960D52"/>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960D52"/>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960D52"/>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960D52"/>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960D52"/>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960D52"/>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960D5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960D5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960D52"/>
  </w:style>
  <w:style w:type="character" w:customStyle="1" w:styleId="affff7">
    <w:name w:val="תאריך תו"/>
    <w:link w:val="affff6"/>
    <w:rsid w:val="00960D52"/>
    <w:rPr>
      <w:rFonts w:cs="David"/>
      <w:noProof w:val="0"/>
      <w:sz w:val="24"/>
      <w:szCs w:val="24"/>
    </w:rPr>
  </w:style>
  <w:style w:type="paragraph" w:customStyle="1" w:styleId="2f3">
    <w:name w:val="ללא מרווח2"/>
    <w:qFormat/>
    <w:rsid w:val="009659A5"/>
    <w:pPr>
      <w:bidi/>
    </w:pPr>
    <w:rPr>
      <w:rFonts w:cs="David"/>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case/22932008" TargetMode="External"/><Relationship Id="rId13" Type="http://schemas.openxmlformats.org/officeDocument/2006/relationships/hyperlink" Target="http://www.nevo.co.il/law/4668/96.c.2" TargetMode="External"/><Relationship Id="rId18" Type="http://schemas.openxmlformats.org/officeDocument/2006/relationships/hyperlink" Target="http://www.nevo.co.il/law/4668/84.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evo.co.il/law/4668/71.a" TargetMode="External"/><Relationship Id="rId7" Type="http://schemas.openxmlformats.org/officeDocument/2006/relationships/hyperlink" Target="http://www.nevo.co.il/case/22932008" TargetMode="External"/><Relationship Id="rId12" Type="http://schemas.openxmlformats.org/officeDocument/2006/relationships/hyperlink" Target="http://www.nevo.co.il/law/4668/96.a" TargetMode="External"/><Relationship Id="rId17" Type="http://schemas.openxmlformats.org/officeDocument/2006/relationships/hyperlink" Target="http://www.nevo.co.il/law/4668/42" TargetMode="External"/><Relationship Id="rId25" Type="http://schemas.openxmlformats.org/officeDocument/2006/relationships/hyperlink" Target="http://www.nevo.co.il/safrut/bookgroup/2151" TargetMode="External"/><Relationship Id="rId2" Type="http://schemas.openxmlformats.org/officeDocument/2006/relationships/styles" Target="styles.xml"/><Relationship Id="rId16" Type="http://schemas.openxmlformats.org/officeDocument/2006/relationships/hyperlink" Target="http://www.nevo.co.il/law/4668/96" TargetMode="External"/><Relationship Id="rId20" Type="http://schemas.openxmlformats.org/officeDocument/2006/relationships/hyperlink" Target="http://www.nevo.co.il/case/571349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4668/96.c.2" TargetMode="External"/><Relationship Id="rId24" Type="http://schemas.openxmlformats.org/officeDocument/2006/relationships/hyperlink" Target="http://www.nevo.co.il/case/27015031" TargetMode="External"/><Relationship Id="rId5" Type="http://schemas.openxmlformats.org/officeDocument/2006/relationships/footnotes" Target="footnotes.xml"/><Relationship Id="rId15" Type="http://schemas.openxmlformats.org/officeDocument/2006/relationships/hyperlink" Target="http://www.nevo.co.il/law/157751" TargetMode="External"/><Relationship Id="rId23" Type="http://schemas.openxmlformats.org/officeDocument/2006/relationships/hyperlink" Target="http://www.nevo.co.il/case/5774519" TargetMode="External"/><Relationship Id="rId28" Type="http://schemas.openxmlformats.org/officeDocument/2006/relationships/footer" Target="footer1.xml"/><Relationship Id="rId10" Type="http://schemas.openxmlformats.org/officeDocument/2006/relationships/hyperlink" Target="http://www.nevo.co.il/law/4668" TargetMode="External"/><Relationship Id="rId19" Type="http://schemas.openxmlformats.org/officeDocument/2006/relationships/hyperlink" Target="http://www.nevo.co.il/case/1791275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vo.co.il/law/4668/96.a" TargetMode="External"/><Relationship Id="rId14" Type="http://schemas.openxmlformats.org/officeDocument/2006/relationships/hyperlink" Target="http://www.nevo.co.il/law/157751/137.b" TargetMode="External"/><Relationship Id="rId22" Type="http://schemas.openxmlformats.org/officeDocument/2006/relationships/hyperlink" Target="http://www.nevo.co.il/law/4668/20.a"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1877</Words>
  <Characters>9387</Characters>
  <Application>Microsoft Office Word</Application>
  <DocSecurity>0</DocSecurity>
  <Lines>78</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2024-09-25T18:18:00Z</dcterms:created>
  <dcterms:modified xsi:type="dcterms:W3CDTF">2024-09-25T18:18:00Z</dcterms:modified>
</cp:coreProperties>
</file>