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8736" w:type="dxa"/>
        <w:jc w:val="center"/>
        <w:tblLook w:val="0000" w:firstRow="0" w:lastRow="0" w:firstColumn="0" w:lastColumn="0" w:noHBand="0" w:noVBand="0"/>
      </w:tblPr>
      <w:tblGrid>
        <w:gridCol w:w="8736"/>
      </w:tblGrid>
      <w:tr w:rsidR="008B2575" w14:paraId="54770A5D" w14:textId="77777777" w:rsidTr="001354CD">
        <w:trPr>
          <w:trHeight w:hRule="exact" w:val="624"/>
          <w:jc w:val="center"/>
        </w:trPr>
        <w:tc>
          <w:tcPr>
            <w:tcW w:w="8736" w:type="dxa"/>
          </w:tcPr>
          <w:p w14:paraId="65ED1CCE" w14:textId="77777777" w:rsidR="00270C62" w:rsidRPr="00E93FCE" w:rsidRDefault="00000000" w:rsidP="009A7C4C">
            <w:pPr>
              <w:pStyle w:val="a5"/>
              <w:jc w:val="center"/>
              <w:rPr>
                <w:rFonts w:ascii="Tahoma" w:hAnsi="Tahoma"/>
                <w:b/>
                <w:bCs/>
                <w:sz w:val="28"/>
                <w:szCs w:val="28"/>
                <w:rtl/>
              </w:rPr>
            </w:pPr>
            <w:bookmarkStart w:id="0" w:name="LastJudge"/>
            <w:r w:rsidRPr="00E93FCE">
              <w:rPr>
                <w:rFonts w:ascii="Tahoma" w:hAnsi="Tahoma" w:hint="cs"/>
                <w:b/>
                <w:bCs/>
                <w:sz w:val="28"/>
                <w:szCs w:val="28"/>
                <w:rtl/>
              </w:rPr>
              <w:t>בבית המשפט העליון בשבתו כבית משפט לערעורים אזרחיים</w:t>
            </w:r>
          </w:p>
        </w:tc>
      </w:tr>
    </w:tbl>
    <w:p w14:paraId="75D57177" w14:textId="77777777" w:rsidR="0094424E" w:rsidRPr="00E93FCE" w:rsidRDefault="00157BE1" w:rsidP="00C95DBB">
      <w:pPr>
        <w:pStyle w:val="a5"/>
        <w:tabs>
          <w:tab w:val="clear" w:pos="8306"/>
        </w:tabs>
        <w:ind w:right="-284"/>
        <w:jc w:val="right"/>
        <w:rPr>
          <w:rFonts w:ascii="David" w:hAnsi="David"/>
          <w:b/>
          <w:bCs/>
          <w:sz w:val="28"/>
          <w:szCs w:val="28"/>
          <w:rtl/>
        </w:rPr>
      </w:pPr>
      <w:r w:rsidRPr="00E93FCE">
        <w:rPr>
          <w:rFonts w:hint="cs"/>
          <w:sz w:val="28"/>
          <w:szCs w:val="28"/>
          <w:rtl/>
        </w:rPr>
        <w:t xml:space="preserve">  </w:t>
      </w:r>
      <w:r w:rsidR="00270C62" w:rsidRPr="00E93FCE">
        <w:rPr>
          <w:sz w:val="28"/>
          <w:szCs w:val="28"/>
          <w:rtl/>
        </w:rPr>
        <w:t xml:space="preserve"> </w:t>
      </w:r>
      <w:r w:rsidRPr="00E93FCE">
        <w:rPr>
          <w:rFonts w:ascii="David" w:hAnsi="David"/>
          <w:b/>
          <w:bCs/>
          <w:sz w:val="28"/>
          <w:szCs w:val="28"/>
          <w:rtl/>
        </w:rPr>
        <w:t>רע"א</w:t>
      </w:r>
      <w:r w:rsidR="00C9217F" w:rsidRPr="00E93FCE">
        <w:rPr>
          <w:rFonts w:ascii="David" w:hAnsi="David"/>
          <w:b/>
          <w:bCs/>
          <w:sz w:val="28"/>
          <w:szCs w:val="28"/>
          <w:rtl/>
        </w:rPr>
        <w:t xml:space="preserve"> </w:t>
      </w:r>
      <w:r w:rsidRPr="00E93FCE">
        <w:rPr>
          <w:rFonts w:ascii="David" w:hAnsi="David"/>
          <w:b/>
          <w:bCs/>
          <w:sz w:val="28"/>
          <w:szCs w:val="28"/>
          <w:rtl/>
        </w:rPr>
        <w:t>13555-08-24</w:t>
      </w:r>
    </w:p>
    <w:tbl>
      <w:tblPr>
        <w:bidiVisual/>
        <w:tblW w:w="8795" w:type="dxa"/>
        <w:jc w:val="center"/>
        <w:tblLook w:val="01E0" w:firstRow="1" w:lastRow="1" w:firstColumn="1" w:lastColumn="1" w:noHBand="0" w:noVBand="0"/>
      </w:tblPr>
      <w:tblGrid>
        <w:gridCol w:w="3267"/>
        <w:gridCol w:w="5521"/>
        <w:gridCol w:w="7"/>
      </w:tblGrid>
      <w:tr w:rsidR="008B2575" w14:paraId="70AF70F8" w14:textId="77777777" w:rsidTr="00E93FCE">
        <w:trPr>
          <w:gridAfter w:val="1"/>
          <w:wAfter w:w="7" w:type="dxa"/>
          <w:trHeight w:val="295"/>
          <w:jc w:val="center"/>
        </w:trPr>
        <w:tc>
          <w:tcPr>
            <w:tcW w:w="8788" w:type="dxa"/>
            <w:gridSpan w:val="2"/>
            <w:shd w:val="clear" w:color="auto" w:fill="auto"/>
          </w:tcPr>
          <w:p w14:paraId="186EE0B6" w14:textId="77777777" w:rsidR="00105E0F" w:rsidRPr="00E93FCE" w:rsidRDefault="00105E0F" w:rsidP="00E93FCE">
            <w:pPr>
              <w:suppressLineNumbers/>
              <w:rPr>
                <w:rFonts w:ascii="Arial" w:hAnsi="Arial"/>
                <w:sz w:val="28"/>
                <w:szCs w:val="28"/>
                <w:rtl/>
              </w:rPr>
            </w:pPr>
          </w:p>
        </w:tc>
      </w:tr>
      <w:tr w:rsidR="008B2575" w14:paraId="5C1BEAD9" w14:textId="77777777" w:rsidTr="00E93FCE">
        <w:trPr>
          <w:jc w:val="center"/>
        </w:trPr>
        <w:tc>
          <w:tcPr>
            <w:tcW w:w="3267" w:type="dxa"/>
            <w:shd w:val="clear" w:color="auto" w:fill="auto"/>
          </w:tcPr>
          <w:p w14:paraId="158DC58B" w14:textId="77777777" w:rsidR="0094424E" w:rsidRPr="00E93FCE" w:rsidRDefault="00105E0F" w:rsidP="00E93FCE">
            <w:pPr>
              <w:suppressLineNumbers/>
              <w:ind w:right="-295"/>
              <w:jc w:val="both"/>
              <w:rPr>
                <w:rFonts w:ascii="David" w:hAnsi="David"/>
                <w:sz w:val="28"/>
                <w:szCs w:val="28"/>
                <w:rtl/>
              </w:rPr>
            </w:pPr>
            <w:r w:rsidRPr="00E93FCE">
              <w:rPr>
                <w:rFonts w:ascii="David" w:hAnsi="David"/>
                <w:sz w:val="28"/>
                <w:szCs w:val="28"/>
                <w:rtl/>
              </w:rPr>
              <w:t>ל</w:t>
            </w:r>
            <w:r w:rsidR="00000000" w:rsidRPr="00E93FCE">
              <w:rPr>
                <w:rFonts w:ascii="David" w:hAnsi="David"/>
                <w:sz w:val="28"/>
                <w:szCs w:val="28"/>
                <w:rtl/>
              </w:rPr>
              <w:t>פני</w:t>
            </w:r>
            <w:r w:rsidR="001354CD" w:rsidRPr="00E93FCE">
              <w:rPr>
                <w:rFonts w:ascii="David" w:hAnsi="David" w:hint="cs"/>
                <w:sz w:val="28"/>
                <w:szCs w:val="28"/>
                <w:rtl/>
              </w:rPr>
              <w:t>:</w:t>
            </w:r>
          </w:p>
        </w:tc>
        <w:tc>
          <w:tcPr>
            <w:tcW w:w="5528" w:type="dxa"/>
            <w:gridSpan w:val="2"/>
            <w:shd w:val="clear" w:color="auto" w:fill="auto"/>
          </w:tcPr>
          <w:p w14:paraId="7AE02B40" w14:textId="77777777" w:rsidR="0094424E" w:rsidRPr="00E93FCE" w:rsidRDefault="000529D2" w:rsidP="00E93FCE">
            <w:pPr>
              <w:suppressLineNumbers/>
              <w:rPr>
                <w:rFonts w:ascii="David" w:hAnsi="David"/>
                <w:sz w:val="28"/>
                <w:szCs w:val="28"/>
                <w:rtl/>
              </w:rPr>
            </w:pPr>
            <w:r w:rsidRPr="00E93FCE">
              <w:rPr>
                <w:rFonts w:ascii="David" w:hAnsi="David"/>
                <w:sz w:val="28"/>
                <w:szCs w:val="28"/>
                <w:rtl/>
              </w:rPr>
              <w:t>כבוד</w:t>
            </w:r>
            <w:r w:rsidR="00000000" w:rsidRPr="00E93FCE">
              <w:rPr>
                <w:rFonts w:ascii="David" w:hAnsi="David"/>
                <w:sz w:val="28"/>
                <w:szCs w:val="28"/>
                <w:rtl/>
              </w:rPr>
              <w:t xml:space="preserve"> ה</w:t>
            </w:r>
            <w:r w:rsidRPr="00E93FCE">
              <w:rPr>
                <w:rFonts w:ascii="David" w:hAnsi="David"/>
                <w:sz w:val="28"/>
                <w:szCs w:val="28"/>
                <w:rtl/>
              </w:rPr>
              <w:t>שופט</w:t>
            </w:r>
            <w:r w:rsidR="00000000" w:rsidRPr="00E93FCE">
              <w:rPr>
                <w:rFonts w:ascii="David" w:hAnsi="David"/>
                <w:sz w:val="28"/>
                <w:szCs w:val="28"/>
                <w:rtl/>
              </w:rPr>
              <w:t xml:space="preserve"> </w:t>
            </w:r>
            <w:bookmarkStart w:id="1" w:name="_Hlk186690794"/>
            <w:r w:rsidRPr="00E93FCE">
              <w:rPr>
                <w:rFonts w:ascii="David" w:hAnsi="David"/>
                <w:sz w:val="28"/>
                <w:szCs w:val="28"/>
                <w:rtl/>
              </w:rPr>
              <w:t>עופר גרוסקופף</w:t>
            </w:r>
            <w:bookmarkEnd w:id="1"/>
          </w:p>
          <w:p w14:paraId="04E83A94" w14:textId="77777777" w:rsidR="00007DE0" w:rsidRPr="00E93FCE" w:rsidRDefault="00007DE0" w:rsidP="00E93FCE">
            <w:pPr>
              <w:suppressLineNumbers/>
              <w:rPr>
                <w:rFonts w:ascii="David" w:hAnsi="David"/>
                <w:sz w:val="28"/>
                <w:szCs w:val="28"/>
              </w:rPr>
            </w:pPr>
          </w:p>
        </w:tc>
      </w:tr>
      <w:tr w:rsidR="008B2575" w14:paraId="6B785519" w14:textId="77777777" w:rsidTr="00E93FCE">
        <w:trPr>
          <w:gridAfter w:val="1"/>
          <w:wAfter w:w="7" w:type="dxa"/>
          <w:jc w:val="center"/>
        </w:trPr>
        <w:tc>
          <w:tcPr>
            <w:tcW w:w="3267" w:type="dxa"/>
            <w:shd w:val="clear" w:color="auto" w:fill="auto"/>
          </w:tcPr>
          <w:p w14:paraId="360D71AE" w14:textId="77777777" w:rsidR="0094424E" w:rsidRPr="00E93FCE" w:rsidRDefault="00C9217F" w:rsidP="00E93FCE">
            <w:pPr>
              <w:suppressLineNumbers/>
              <w:rPr>
                <w:rFonts w:ascii="David" w:hAnsi="David"/>
                <w:sz w:val="28"/>
                <w:szCs w:val="28"/>
                <w:rtl/>
              </w:rPr>
            </w:pPr>
            <w:bookmarkStart w:id="2" w:name="FirstAppellant"/>
            <w:r w:rsidRPr="00E93FCE">
              <w:rPr>
                <w:rFonts w:ascii="David" w:hAnsi="David" w:hint="cs"/>
                <w:sz w:val="28"/>
                <w:szCs w:val="28"/>
                <w:rtl/>
              </w:rPr>
              <w:t>ה</w:t>
            </w:r>
            <w:r w:rsidR="003F07DC" w:rsidRPr="00E93FCE">
              <w:rPr>
                <w:rFonts w:ascii="David" w:hAnsi="David"/>
                <w:sz w:val="28"/>
                <w:szCs w:val="28"/>
                <w:rtl/>
              </w:rPr>
              <w:t>מבקש</w:t>
            </w:r>
            <w:r w:rsidRPr="00E93FCE">
              <w:rPr>
                <w:rFonts w:ascii="David" w:hAnsi="David" w:hint="cs"/>
                <w:sz w:val="28"/>
                <w:szCs w:val="28"/>
                <w:rtl/>
              </w:rPr>
              <w:t>:</w:t>
            </w:r>
          </w:p>
        </w:tc>
        <w:tc>
          <w:tcPr>
            <w:tcW w:w="5521" w:type="dxa"/>
            <w:shd w:val="clear" w:color="auto" w:fill="auto"/>
          </w:tcPr>
          <w:p w14:paraId="3CCEFACD" w14:textId="77777777" w:rsidR="0094424E" w:rsidRPr="00E93FCE" w:rsidRDefault="001F4726" w:rsidP="00E93FCE">
            <w:pPr>
              <w:suppressLineNumbers/>
              <w:rPr>
                <w:rFonts w:ascii="David" w:hAnsi="David"/>
                <w:sz w:val="28"/>
                <w:szCs w:val="28"/>
              </w:rPr>
            </w:pPr>
            <w:r w:rsidRPr="00E93FCE">
              <w:rPr>
                <w:rFonts w:ascii="David" w:hAnsi="David"/>
                <w:sz w:val="28"/>
                <w:szCs w:val="28"/>
                <w:rtl/>
              </w:rPr>
              <w:t>אדם שמסי</w:t>
            </w:r>
          </w:p>
        </w:tc>
      </w:tr>
      <w:bookmarkEnd w:id="2"/>
      <w:tr w:rsidR="008B2575" w14:paraId="2CB61D00" w14:textId="77777777" w:rsidTr="00E93FCE">
        <w:trPr>
          <w:gridAfter w:val="1"/>
          <w:wAfter w:w="7" w:type="dxa"/>
          <w:jc w:val="center"/>
        </w:trPr>
        <w:tc>
          <w:tcPr>
            <w:tcW w:w="8788" w:type="dxa"/>
            <w:gridSpan w:val="2"/>
            <w:shd w:val="clear" w:color="auto" w:fill="auto"/>
          </w:tcPr>
          <w:p w14:paraId="02659CFE" w14:textId="77777777" w:rsidR="0094424E" w:rsidRPr="00E93FCE" w:rsidRDefault="0094424E" w:rsidP="00E93FCE">
            <w:pPr>
              <w:suppressLineNumbers/>
              <w:rPr>
                <w:rFonts w:ascii="David" w:hAnsi="David"/>
                <w:sz w:val="28"/>
                <w:szCs w:val="28"/>
                <w:rtl/>
              </w:rPr>
            </w:pPr>
          </w:p>
          <w:p w14:paraId="0F4467F6" w14:textId="77777777" w:rsidR="0094424E" w:rsidRPr="00E93FCE" w:rsidRDefault="009D7C7A" w:rsidP="00E93FCE">
            <w:pPr>
              <w:suppressLineNumbers/>
              <w:ind w:left="2880"/>
              <w:rPr>
                <w:rFonts w:ascii="David" w:hAnsi="David"/>
                <w:spacing w:val="40"/>
                <w:sz w:val="28"/>
                <w:szCs w:val="28"/>
                <w:rtl/>
              </w:rPr>
            </w:pPr>
            <w:r w:rsidRPr="00E93FCE">
              <w:rPr>
                <w:rFonts w:ascii="David" w:hAnsi="David" w:hint="cs"/>
                <w:spacing w:val="40"/>
                <w:sz w:val="28"/>
                <w:szCs w:val="28"/>
                <w:rtl/>
              </w:rPr>
              <w:t xml:space="preserve">    </w:t>
            </w:r>
            <w:r w:rsidR="00000000" w:rsidRPr="00E93FCE">
              <w:rPr>
                <w:rFonts w:ascii="David" w:hAnsi="David"/>
                <w:spacing w:val="40"/>
                <w:sz w:val="28"/>
                <w:szCs w:val="28"/>
                <w:rtl/>
              </w:rPr>
              <w:t>נגד</w:t>
            </w:r>
          </w:p>
          <w:p w14:paraId="4E54F7E0" w14:textId="77777777" w:rsidR="0094424E" w:rsidRPr="00E93FCE" w:rsidRDefault="0094424E" w:rsidP="00E93FCE">
            <w:pPr>
              <w:suppressLineNumbers/>
              <w:rPr>
                <w:rFonts w:ascii="David" w:hAnsi="David"/>
                <w:sz w:val="28"/>
                <w:szCs w:val="28"/>
              </w:rPr>
            </w:pPr>
          </w:p>
        </w:tc>
      </w:tr>
      <w:tr w:rsidR="008B2575" w14:paraId="14442C16" w14:textId="77777777" w:rsidTr="00E93FCE">
        <w:trPr>
          <w:gridAfter w:val="1"/>
          <w:wAfter w:w="7" w:type="dxa"/>
          <w:jc w:val="center"/>
        </w:trPr>
        <w:tc>
          <w:tcPr>
            <w:tcW w:w="3267" w:type="dxa"/>
            <w:shd w:val="clear" w:color="auto" w:fill="auto"/>
          </w:tcPr>
          <w:p w14:paraId="61834D8F" w14:textId="77777777" w:rsidR="0094424E" w:rsidRPr="00E93FCE" w:rsidRDefault="00C9217F" w:rsidP="00E93FCE">
            <w:pPr>
              <w:suppressLineNumbers/>
              <w:rPr>
                <w:rFonts w:ascii="David" w:hAnsi="David"/>
                <w:sz w:val="28"/>
                <w:szCs w:val="28"/>
              </w:rPr>
            </w:pPr>
            <w:r w:rsidRPr="00E93FCE">
              <w:rPr>
                <w:rFonts w:ascii="David" w:hAnsi="David" w:hint="cs"/>
                <w:sz w:val="28"/>
                <w:szCs w:val="28"/>
                <w:rtl/>
              </w:rPr>
              <w:t>ה</w:t>
            </w:r>
            <w:r w:rsidRPr="00E93FCE">
              <w:rPr>
                <w:rFonts w:ascii="David" w:hAnsi="David"/>
                <w:sz w:val="28"/>
                <w:szCs w:val="28"/>
                <w:rtl/>
              </w:rPr>
              <w:t>משיבים</w:t>
            </w:r>
            <w:r w:rsidRPr="00E93FCE">
              <w:rPr>
                <w:rFonts w:ascii="David" w:hAnsi="David" w:hint="cs"/>
                <w:sz w:val="28"/>
                <w:szCs w:val="28"/>
                <w:rtl/>
              </w:rPr>
              <w:t>:</w:t>
            </w:r>
          </w:p>
        </w:tc>
        <w:tc>
          <w:tcPr>
            <w:tcW w:w="5521" w:type="dxa"/>
            <w:shd w:val="clear" w:color="auto" w:fill="auto"/>
          </w:tcPr>
          <w:p w14:paraId="05434882" w14:textId="77777777" w:rsidR="00CF6BB7" w:rsidRPr="00E93FCE" w:rsidRDefault="001F4726" w:rsidP="00E93FCE">
            <w:pPr>
              <w:suppressLineNumbers/>
              <w:rPr>
                <w:rFonts w:ascii="David" w:hAnsi="David"/>
                <w:sz w:val="28"/>
                <w:szCs w:val="28"/>
                <w:rtl/>
              </w:rPr>
            </w:pPr>
            <w:r w:rsidRPr="00E93FCE">
              <w:rPr>
                <w:rFonts w:ascii="David" w:hAnsi="David"/>
                <w:sz w:val="28"/>
                <w:szCs w:val="28"/>
                <w:rtl/>
              </w:rPr>
              <w:t>1</w:t>
            </w:r>
            <w:r w:rsidR="0094424E" w:rsidRPr="00E93FCE">
              <w:rPr>
                <w:rFonts w:ascii="David" w:hAnsi="David"/>
                <w:sz w:val="28"/>
                <w:szCs w:val="28"/>
                <w:rtl/>
              </w:rPr>
              <w:t xml:space="preserve">. </w:t>
            </w:r>
            <w:r w:rsidRPr="00E93FCE">
              <w:rPr>
                <w:rFonts w:ascii="David" w:hAnsi="David"/>
                <w:sz w:val="28"/>
                <w:szCs w:val="28"/>
                <w:rtl/>
              </w:rPr>
              <w:t>מוחמד שמסי</w:t>
            </w:r>
          </w:p>
          <w:p w14:paraId="014169BD" w14:textId="77777777" w:rsidR="00CF6BB7" w:rsidRPr="00E93FCE" w:rsidRDefault="001F4726" w:rsidP="00E93FCE">
            <w:pPr>
              <w:suppressLineNumbers/>
              <w:rPr>
                <w:rFonts w:ascii="David" w:hAnsi="David"/>
                <w:sz w:val="28"/>
                <w:szCs w:val="28"/>
                <w:rtl/>
              </w:rPr>
            </w:pPr>
            <w:r w:rsidRPr="00E93FCE">
              <w:rPr>
                <w:rFonts w:ascii="David" w:hAnsi="David"/>
                <w:sz w:val="28"/>
                <w:szCs w:val="28"/>
                <w:rtl/>
              </w:rPr>
              <w:t>2</w:t>
            </w:r>
            <w:r w:rsidR="0094424E" w:rsidRPr="00E93FCE">
              <w:rPr>
                <w:rFonts w:ascii="David" w:hAnsi="David"/>
                <w:sz w:val="28"/>
                <w:szCs w:val="28"/>
                <w:rtl/>
              </w:rPr>
              <w:t xml:space="preserve">. </w:t>
            </w:r>
            <w:r w:rsidRPr="00E93FCE">
              <w:rPr>
                <w:rFonts w:ascii="David" w:hAnsi="David"/>
                <w:sz w:val="28"/>
                <w:szCs w:val="28"/>
                <w:rtl/>
              </w:rPr>
              <w:t>צדוק חרבי</w:t>
            </w:r>
          </w:p>
          <w:p w14:paraId="45822837" w14:textId="77777777" w:rsidR="00CF6BB7" w:rsidRPr="00E93FCE" w:rsidRDefault="001F4726" w:rsidP="00E93FCE">
            <w:pPr>
              <w:suppressLineNumbers/>
              <w:rPr>
                <w:rFonts w:ascii="David" w:hAnsi="David"/>
                <w:sz w:val="28"/>
                <w:szCs w:val="28"/>
                <w:rtl/>
              </w:rPr>
            </w:pPr>
            <w:r w:rsidRPr="00E93FCE">
              <w:rPr>
                <w:rFonts w:ascii="David" w:hAnsi="David"/>
                <w:sz w:val="28"/>
                <w:szCs w:val="28"/>
                <w:rtl/>
              </w:rPr>
              <w:t>3</w:t>
            </w:r>
            <w:r w:rsidR="0094424E" w:rsidRPr="00E93FCE">
              <w:rPr>
                <w:rFonts w:ascii="David" w:hAnsi="David"/>
                <w:sz w:val="28"/>
                <w:szCs w:val="28"/>
                <w:rtl/>
              </w:rPr>
              <w:t xml:space="preserve">. </w:t>
            </w:r>
            <w:r w:rsidR="003F07DC" w:rsidRPr="00E93FCE">
              <w:rPr>
                <w:rFonts w:ascii="David" w:hAnsi="David" w:hint="cs"/>
                <w:sz w:val="28"/>
                <w:szCs w:val="28"/>
                <w:rtl/>
              </w:rPr>
              <w:t xml:space="preserve">עו"ד </w:t>
            </w:r>
            <w:r w:rsidRPr="00E93FCE">
              <w:rPr>
                <w:rFonts w:ascii="David" w:hAnsi="David"/>
                <w:sz w:val="28"/>
                <w:szCs w:val="28"/>
                <w:rtl/>
              </w:rPr>
              <w:t>שלומית רענן נשר - נאמנה על נכסי החייב</w:t>
            </w:r>
          </w:p>
          <w:p w14:paraId="2D4D946F" w14:textId="77777777" w:rsidR="00CF6BB7" w:rsidRPr="00E93FCE" w:rsidRDefault="001F4726" w:rsidP="00E93FCE">
            <w:pPr>
              <w:suppressLineNumbers/>
              <w:rPr>
                <w:rFonts w:ascii="David" w:hAnsi="David"/>
                <w:sz w:val="28"/>
                <w:szCs w:val="28"/>
                <w:rtl/>
              </w:rPr>
            </w:pPr>
            <w:r w:rsidRPr="00E93FCE">
              <w:rPr>
                <w:rFonts w:ascii="David" w:hAnsi="David"/>
                <w:sz w:val="28"/>
                <w:szCs w:val="28"/>
                <w:rtl/>
              </w:rPr>
              <w:t>4</w:t>
            </w:r>
            <w:r w:rsidR="0094424E" w:rsidRPr="00E93FCE">
              <w:rPr>
                <w:rFonts w:ascii="David" w:hAnsi="David"/>
                <w:sz w:val="28"/>
                <w:szCs w:val="28"/>
                <w:rtl/>
              </w:rPr>
              <w:t xml:space="preserve">. </w:t>
            </w:r>
            <w:r w:rsidR="003F07DC" w:rsidRPr="00E93FCE">
              <w:rPr>
                <w:rFonts w:ascii="David" w:hAnsi="David" w:hint="cs"/>
                <w:sz w:val="28"/>
                <w:szCs w:val="28"/>
                <w:rtl/>
              </w:rPr>
              <w:t>כונס הנכסים הרשמי</w:t>
            </w:r>
          </w:p>
        </w:tc>
      </w:tr>
      <w:tr w:rsidR="008B2575" w14:paraId="3B282909" w14:textId="77777777" w:rsidTr="00E93FCE">
        <w:trPr>
          <w:gridAfter w:val="1"/>
          <w:wAfter w:w="7" w:type="dxa"/>
          <w:jc w:val="center"/>
        </w:trPr>
        <w:tc>
          <w:tcPr>
            <w:tcW w:w="3267" w:type="dxa"/>
            <w:shd w:val="clear" w:color="auto" w:fill="auto"/>
          </w:tcPr>
          <w:p w14:paraId="165BFF98" w14:textId="77777777" w:rsidR="00C9217F" w:rsidRPr="00E93FCE" w:rsidRDefault="00C9217F" w:rsidP="00E93FCE">
            <w:pPr>
              <w:suppressLineNumbers/>
              <w:rPr>
                <w:rFonts w:ascii="David" w:hAnsi="David"/>
                <w:sz w:val="28"/>
                <w:szCs w:val="28"/>
                <w:rtl/>
              </w:rPr>
            </w:pPr>
          </w:p>
        </w:tc>
        <w:tc>
          <w:tcPr>
            <w:tcW w:w="5521" w:type="dxa"/>
            <w:shd w:val="clear" w:color="auto" w:fill="auto"/>
          </w:tcPr>
          <w:p w14:paraId="62691527" w14:textId="77777777" w:rsidR="00C9217F" w:rsidRPr="00E93FCE" w:rsidRDefault="00C9217F" w:rsidP="00E93FCE">
            <w:pPr>
              <w:suppressLineNumbers/>
              <w:rPr>
                <w:rFonts w:ascii="David" w:hAnsi="David"/>
                <w:rtl/>
              </w:rPr>
            </w:pPr>
          </w:p>
          <w:p w14:paraId="745D5614" w14:textId="77777777" w:rsidR="009D7C7A" w:rsidRPr="00E93FCE" w:rsidRDefault="003F07DC" w:rsidP="00E93FCE">
            <w:pPr>
              <w:suppressLineNumbers/>
              <w:rPr>
                <w:rFonts w:ascii="David" w:hAnsi="David"/>
                <w:rtl/>
              </w:rPr>
            </w:pPr>
            <w:r w:rsidRPr="00E93FCE">
              <w:rPr>
                <w:rFonts w:ascii="David" w:hAnsi="David" w:hint="cs"/>
                <w:rtl/>
              </w:rPr>
              <w:t>בקשת רשות ערעור על החלטת בית המשפט המחוזי בנצרת מיום 25.7.2024</w:t>
            </w:r>
            <w:r w:rsidR="009B7241" w:rsidRPr="009B7241">
              <w:rPr>
                <w:sz w:val="22"/>
                <w:rtl/>
              </w:rPr>
              <w:t xml:space="preserve">[פורסם בנבו] </w:t>
            </w:r>
            <w:r w:rsidRPr="00E93FCE">
              <w:rPr>
                <w:rFonts w:ascii="David" w:hAnsi="David" w:hint="cs"/>
                <w:rtl/>
              </w:rPr>
              <w:t xml:space="preserve"> ב</w:t>
            </w:r>
            <w:hyperlink r:id="rId7" w:history="1">
              <w:r w:rsidR="00E93FCE" w:rsidRPr="00E93FCE">
                <w:rPr>
                  <w:rFonts w:ascii="David" w:hAnsi="David"/>
                  <w:color w:val="0000FF"/>
                  <w:u w:val="single"/>
                  <w:rtl/>
                </w:rPr>
                <w:t>פש"ר 298/09</w:t>
              </w:r>
            </w:hyperlink>
            <w:r w:rsidRPr="00E93FCE">
              <w:rPr>
                <w:rFonts w:ascii="David" w:hAnsi="David" w:hint="cs"/>
                <w:rtl/>
              </w:rPr>
              <w:t xml:space="preserve"> שניתנה על ידי כבוד השופט העמית יוסף בן-חמו</w:t>
            </w:r>
          </w:p>
          <w:p w14:paraId="3BBC2019" w14:textId="77777777" w:rsidR="00C9217F" w:rsidRPr="00E93FCE" w:rsidRDefault="00C9217F" w:rsidP="00E93FCE">
            <w:pPr>
              <w:suppressLineNumbers/>
              <w:rPr>
                <w:rFonts w:ascii="David" w:hAnsi="David"/>
                <w:sz w:val="28"/>
                <w:szCs w:val="28"/>
                <w:rtl/>
              </w:rPr>
            </w:pPr>
          </w:p>
        </w:tc>
      </w:tr>
      <w:tr w:rsidR="008B2575" w14:paraId="29C04D3A" w14:textId="77777777" w:rsidTr="00E93FCE">
        <w:trPr>
          <w:gridAfter w:val="1"/>
          <w:wAfter w:w="7" w:type="dxa"/>
          <w:jc w:val="center"/>
        </w:trPr>
        <w:tc>
          <w:tcPr>
            <w:tcW w:w="3267" w:type="dxa"/>
            <w:shd w:val="clear" w:color="auto" w:fill="auto"/>
          </w:tcPr>
          <w:p w14:paraId="0EBB22D4" w14:textId="77777777" w:rsidR="00105E0F" w:rsidRPr="00E93FCE" w:rsidRDefault="00C9217F" w:rsidP="00E93FCE">
            <w:pPr>
              <w:suppressLineNumbers/>
              <w:rPr>
                <w:rFonts w:ascii="David" w:hAnsi="David"/>
                <w:sz w:val="28"/>
                <w:szCs w:val="28"/>
                <w:rtl/>
              </w:rPr>
            </w:pPr>
            <w:bookmarkStart w:id="3" w:name="FirstLawyer"/>
            <w:r w:rsidRPr="00E93FCE">
              <w:rPr>
                <w:rFonts w:ascii="David" w:hAnsi="David" w:hint="cs"/>
                <w:sz w:val="28"/>
                <w:szCs w:val="28"/>
                <w:rtl/>
              </w:rPr>
              <w:t>בשם ה</w:t>
            </w:r>
            <w:r w:rsidR="003F07DC" w:rsidRPr="00E93FCE">
              <w:rPr>
                <w:rFonts w:ascii="David" w:hAnsi="David"/>
                <w:sz w:val="28"/>
                <w:szCs w:val="28"/>
                <w:rtl/>
              </w:rPr>
              <w:t>מבקש</w:t>
            </w:r>
            <w:r w:rsidRPr="00E93FCE">
              <w:rPr>
                <w:rFonts w:ascii="David" w:hAnsi="David" w:hint="cs"/>
                <w:sz w:val="28"/>
                <w:szCs w:val="28"/>
                <w:rtl/>
              </w:rPr>
              <w:t>:</w:t>
            </w:r>
          </w:p>
        </w:tc>
        <w:tc>
          <w:tcPr>
            <w:tcW w:w="5521" w:type="dxa"/>
            <w:shd w:val="clear" w:color="auto" w:fill="auto"/>
          </w:tcPr>
          <w:p w14:paraId="3C33C95A" w14:textId="77777777" w:rsidR="00105E0F" w:rsidRPr="00E93FCE" w:rsidRDefault="009D317C" w:rsidP="00E93FCE">
            <w:pPr>
              <w:suppressLineNumbers/>
              <w:rPr>
                <w:rFonts w:ascii="David" w:hAnsi="David"/>
                <w:sz w:val="28"/>
                <w:szCs w:val="28"/>
                <w:rtl/>
              </w:rPr>
            </w:pPr>
            <w:r w:rsidRPr="00E93FCE">
              <w:rPr>
                <w:rFonts w:ascii="David" w:hAnsi="David" w:hint="cs"/>
                <w:sz w:val="28"/>
                <w:szCs w:val="28"/>
                <w:rtl/>
              </w:rPr>
              <w:t xml:space="preserve">עו"ד </w:t>
            </w:r>
            <w:r w:rsidRPr="00E93FCE">
              <w:rPr>
                <w:rFonts w:ascii="David" w:hAnsi="David"/>
                <w:sz w:val="28"/>
                <w:szCs w:val="28"/>
                <w:rtl/>
              </w:rPr>
              <w:t>מוסטפא</w:t>
            </w:r>
            <w:r w:rsidR="00000000" w:rsidRPr="00E93FCE">
              <w:rPr>
                <w:rFonts w:ascii="David" w:hAnsi="David"/>
                <w:sz w:val="28"/>
                <w:szCs w:val="28"/>
                <w:rtl/>
              </w:rPr>
              <w:t xml:space="preserve"> </w:t>
            </w:r>
            <w:r w:rsidRPr="00E93FCE">
              <w:rPr>
                <w:rFonts w:ascii="David" w:hAnsi="David"/>
                <w:sz w:val="28"/>
                <w:szCs w:val="28"/>
                <w:rtl/>
              </w:rPr>
              <w:t>לידאוי</w:t>
            </w:r>
            <w:r w:rsidRPr="00E93FCE">
              <w:rPr>
                <w:rFonts w:ascii="David" w:hAnsi="David" w:hint="cs"/>
                <w:sz w:val="28"/>
                <w:szCs w:val="28"/>
                <w:rtl/>
              </w:rPr>
              <w:t xml:space="preserve"> </w:t>
            </w:r>
          </w:p>
        </w:tc>
      </w:tr>
    </w:tbl>
    <w:p w14:paraId="515F6124" w14:textId="77777777" w:rsidR="009B7241" w:rsidRPr="009B7241" w:rsidRDefault="009B7241" w:rsidP="009B7241">
      <w:pPr>
        <w:suppressLineNumbers/>
        <w:spacing w:before="120" w:after="120" w:line="240" w:lineRule="exact"/>
        <w:ind w:left="283" w:hanging="283"/>
        <w:jc w:val="both"/>
        <w:rPr>
          <w:rFonts w:ascii="FrankRuehl" w:hAnsi="FrankRuehl" w:cs="FrankRuehl"/>
          <w:color w:val="0000FF"/>
          <w:rtl/>
        </w:rPr>
      </w:pPr>
      <w:bookmarkStart w:id="4" w:name="LawTable"/>
      <w:bookmarkEnd w:id="3"/>
      <w:bookmarkEnd w:id="4"/>
    </w:p>
    <w:p w14:paraId="032C5A2E" w14:textId="77777777" w:rsidR="005B6711" w:rsidRPr="009A7C4C" w:rsidRDefault="005B6711" w:rsidP="005B6711">
      <w:pPr>
        <w:suppressLineNumbers/>
        <w:spacing w:before="120" w:after="120" w:line="240" w:lineRule="exact"/>
        <w:ind w:left="283" w:hanging="283"/>
        <w:jc w:val="both"/>
        <w:rPr>
          <w:rFonts w:ascii="FrankRuehl" w:hAnsi="FrankRuehl" w:cs="FrankRuehl"/>
          <w:color w:val="0000FF"/>
          <w:rtl/>
        </w:rPr>
      </w:pPr>
    </w:p>
    <w:p w14:paraId="578C5892" w14:textId="77777777" w:rsidR="0094424E" w:rsidRPr="009A7C4C" w:rsidRDefault="0094424E" w:rsidP="009A7C4C">
      <w:pPr>
        <w:suppressLineNumbers/>
        <w:rPr>
          <w:rFonts w:ascii="David" w:hAnsi="David"/>
          <w:rtl/>
        </w:rPr>
      </w:pPr>
    </w:p>
    <w:tbl>
      <w:tblPr>
        <w:bidiVisual/>
        <w:tblW w:w="8820" w:type="dxa"/>
        <w:jc w:val="center"/>
        <w:tblLook w:val="01E0" w:firstRow="1" w:lastRow="1" w:firstColumn="1" w:lastColumn="1" w:noHBand="0" w:noVBand="0"/>
      </w:tblPr>
      <w:tblGrid>
        <w:gridCol w:w="8820"/>
      </w:tblGrid>
      <w:tr w:rsidR="008B2575" w14:paraId="081ECDC5" w14:textId="77777777" w:rsidTr="00E93FCE">
        <w:trPr>
          <w:jc w:val="center"/>
        </w:trPr>
        <w:tc>
          <w:tcPr>
            <w:tcW w:w="8820" w:type="dxa"/>
            <w:shd w:val="clear" w:color="auto" w:fill="auto"/>
          </w:tcPr>
          <w:p w14:paraId="3E2ECC48" w14:textId="77777777" w:rsidR="00E93FCE" w:rsidRPr="00E93FCE" w:rsidRDefault="00000000" w:rsidP="00E93FCE">
            <w:pPr>
              <w:bidi w:val="0"/>
              <w:jc w:val="center"/>
              <w:rPr>
                <w:rFonts w:ascii="David" w:hAnsi="David"/>
                <w:b/>
                <w:bCs/>
                <w:spacing w:val="40"/>
                <w:sz w:val="28"/>
                <w:szCs w:val="28"/>
                <w:u w:val="single"/>
                <w:rtl/>
              </w:rPr>
            </w:pPr>
            <w:bookmarkStart w:id="5" w:name="PsakDin" w:colFirst="0" w:colLast="0"/>
            <w:bookmarkEnd w:id="0"/>
            <w:r w:rsidRPr="00E93FCE">
              <w:rPr>
                <w:rFonts w:ascii="David" w:hAnsi="David"/>
                <w:b/>
                <w:bCs/>
                <w:spacing w:val="40"/>
                <w:sz w:val="28"/>
                <w:szCs w:val="28"/>
                <w:u w:val="single"/>
                <w:rtl/>
              </w:rPr>
              <w:t>החלטה</w:t>
            </w:r>
          </w:p>
          <w:p w14:paraId="245FBE93" w14:textId="77777777" w:rsidR="00D44968" w:rsidRPr="00E93FCE" w:rsidRDefault="00D44968" w:rsidP="00E93FCE">
            <w:pPr>
              <w:bidi w:val="0"/>
              <w:jc w:val="center"/>
              <w:rPr>
                <w:rFonts w:ascii="David" w:hAnsi="David"/>
                <w:b/>
                <w:bCs/>
                <w:spacing w:val="40"/>
                <w:sz w:val="28"/>
                <w:szCs w:val="28"/>
                <w:u w:val="single"/>
              </w:rPr>
            </w:pPr>
          </w:p>
        </w:tc>
      </w:tr>
    </w:tbl>
    <w:p w14:paraId="20C8B32B" w14:textId="77777777" w:rsidR="00694556" w:rsidRPr="009D317C" w:rsidRDefault="00694556">
      <w:pPr>
        <w:spacing w:line="360" w:lineRule="auto"/>
        <w:jc w:val="both"/>
        <w:rPr>
          <w:rFonts w:ascii="FrankRuehl" w:hAnsi="FrankRuehl" w:cs="FrankRuehl"/>
          <w:spacing w:val="10"/>
          <w:sz w:val="28"/>
          <w:szCs w:val="28"/>
          <w:rtl/>
        </w:rPr>
      </w:pPr>
      <w:bookmarkStart w:id="6" w:name="NGCSBookmark"/>
      <w:bookmarkEnd w:id="5"/>
      <w:bookmarkEnd w:id="6"/>
    </w:p>
    <w:p w14:paraId="4E8E3FBA" w14:textId="77777777" w:rsidR="00C95DBB" w:rsidRDefault="00000000" w:rsidP="00C95DBB">
      <w:pPr>
        <w:pStyle w:val="Ruller40"/>
        <w:ind w:firstLine="799"/>
        <w:rPr>
          <w:rFonts w:ascii="Century" w:hAnsi="Century"/>
        </w:rPr>
      </w:pPr>
      <w:r>
        <w:rPr>
          <w:rtl/>
        </w:rPr>
        <w:t xml:space="preserve">לפניי בקשת רשות ערעור על החלטת בית המשפט המחוזי בנצרת (כב' השופט העמית </w:t>
      </w:r>
      <w:r>
        <w:rPr>
          <w:rFonts w:ascii="Century" w:hAnsi="Century" w:cs="Miriam"/>
          <w:b/>
          <w:spacing w:val="0"/>
          <w:szCs w:val="24"/>
          <w:rtl/>
        </w:rPr>
        <w:t>יוסף בן-חמו</w:t>
      </w:r>
      <w:r>
        <w:rPr>
          <w:rFonts w:ascii="Century" w:hAnsi="Century"/>
          <w:rtl/>
        </w:rPr>
        <w:t>) ב</w:t>
      </w:r>
      <w:hyperlink r:id="rId8" w:history="1">
        <w:r w:rsidR="00E93FCE" w:rsidRPr="00E93FCE">
          <w:rPr>
            <w:rFonts w:ascii="Century" w:hAnsi="Century" w:hint="eastAsia"/>
            <w:color w:val="0000FF"/>
            <w:u w:val="single"/>
            <w:rtl/>
          </w:rPr>
          <w:t>פש</w:t>
        </w:r>
        <w:r w:rsidR="00E93FCE" w:rsidRPr="00E93FCE">
          <w:rPr>
            <w:rFonts w:ascii="Century" w:hAnsi="Century"/>
            <w:color w:val="0000FF"/>
            <w:u w:val="single"/>
            <w:rtl/>
          </w:rPr>
          <w:t>"</w:t>
        </w:r>
        <w:r w:rsidR="00E93FCE" w:rsidRPr="00E93FCE">
          <w:rPr>
            <w:rFonts w:ascii="Century" w:hAnsi="Century" w:hint="eastAsia"/>
            <w:color w:val="0000FF"/>
            <w:u w:val="single"/>
            <w:rtl/>
          </w:rPr>
          <w:t>ר</w:t>
        </w:r>
        <w:r w:rsidR="00E93FCE" w:rsidRPr="00E93FCE">
          <w:rPr>
            <w:rFonts w:ascii="Century" w:hAnsi="Century"/>
            <w:color w:val="0000FF"/>
            <w:u w:val="single"/>
            <w:rtl/>
          </w:rPr>
          <w:t xml:space="preserve"> 298/09</w:t>
        </w:r>
      </w:hyperlink>
      <w:r>
        <w:rPr>
          <w:rFonts w:ascii="Century" w:hAnsi="Century"/>
          <w:rtl/>
        </w:rPr>
        <w:t xml:space="preserve"> מיום 25.7.2024, שעניינה אופן בירור טענות המבקש ביחס לזכויותיו בנכס מקרקעין, המשמש כבית המשפחה, אשר הליכי מימוש לגביו מתקיימים במסגרת הליך פשיטת רגל בו מצוי אביו, המשיב 1.</w:t>
      </w:r>
    </w:p>
    <w:p w14:paraId="422FAADF" w14:textId="77777777" w:rsidR="00C95DBB" w:rsidRDefault="00C95DBB" w:rsidP="00C95DBB">
      <w:pPr>
        <w:pStyle w:val="Ruller40"/>
        <w:rPr>
          <w:rFonts w:ascii="Century" w:hAnsi="Century"/>
          <w:rtl/>
        </w:rPr>
      </w:pPr>
    </w:p>
    <w:p w14:paraId="39BB00DB" w14:textId="77777777" w:rsidR="00C95DBB" w:rsidRDefault="00000000" w:rsidP="00C95DBB">
      <w:pPr>
        <w:pStyle w:val="Ruller40"/>
        <w:rPr>
          <w:rFonts w:ascii="Century" w:hAnsi="Century" w:cs="Miriam"/>
          <w:b/>
          <w:spacing w:val="0"/>
          <w:szCs w:val="24"/>
          <w:rtl/>
        </w:rPr>
      </w:pPr>
      <w:r>
        <w:rPr>
          <w:rFonts w:ascii="Century" w:hAnsi="Century" w:cs="Miriam"/>
          <w:b/>
          <w:spacing w:val="0"/>
          <w:szCs w:val="24"/>
          <w:rtl/>
        </w:rPr>
        <w:t>רקע והשתלשלות העניינים</w:t>
      </w:r>
    </w:p>
    <w:p w14:paraId="561CB536" w14:textId="77777777" w:rsidR="00C95DBB" w:rsidRDefault="00C95DBB" w:rsidP="00C95DBB">
      <w:pPr>
        <w:pStyle w:val="Ruller4"/>
        <w:numPr>
          <w:ilvl w:val="0"/>
          <w:numId w:val="0"/>
        </w:numPr>
        <w:rPr>
          <w:rtl/>
        </w:rPr>
      </w:pPr>
    </w:p>
    <w:p w14:paraId="2660C8C9" w14:textId="77777777" w:rsidR="00C95DBB" w:rsidRDefault="00000000" w:rsidP="00AA5DB1">
      <w:pPr>
        <w:pStyle w:val="Ruller4"/>
      </w:pPr>
      <w:r>
        <w:rPr>
          <w:rtl/>
        </w:rPr>
        <w:t xml:space="preserve">אלה, בתמצית, העובדות הרלוונטיות לעניין: נגד המשיב 1, מר מוחמד שמסי (להלן: </w:t>
      </w:r>
      <w:r>
        <w:rPr>
          <w:rFonts w:ascii="Century" w:hAnsi="Century" w:cs="Miriam"/>
          <w:b/>
          <w:spacing w:val="0"/>
          <w:sz w:val="22"/>
          <w:szCs w:val="24"/>
          <w:rtl/>
        </w:rPr>
        <w:t>החייב</w:t>
      </w:r>
      <w:r>
        <w:rPr>
          <w:rFonts w:ascii="Century" w:hAnsi="Century"/>
          <w:sz w:val="22"/>
          <w:rtl/>
        </w:rPr>
        <w:t>), מתנהל משנת 2009 תיק פשיטת רגל בבית המשפט המחוזי בנצרת (</w:t>
      </w:r>
      <w:hyperlink r:id="rId9" w:history="1">
        <w:r w:rsidR="00E93FCE" w:rsidRPr="00E93FCE">
          <w:rPr>
            <w:rFonts w:ascii="Century" w:hAnsi="Century" w:hint="eastAsia"/>
            <w:color w:val="0000FF"/>
            <w:sz w:val="22"/>
            <w:u w:val="single"/>
            <w:rtl/>
          </w:rPr>
          <w:t>פש</w:t>
        </w:r>
        <w:r w:rsidR="00E93FCE" w:rsidRPr="00E93FCE">
          <w:rPr>
            <w:rFonts w:ascii="Century" w:hAnsi="Century"/>
            <w:color w:val="0000FF"/>
            <w:sz w:val="22"/>
            <w:u w:val="single"/>
            <w:rtl/>
          </w:rPr>
          <w:t>"</w:t>
        </w:r>
        <w:r w:rsidR="00E93FCE" w:rsidRPr="00E93FCE">
          <w:rPr>
            <w:rFonts w:ascii="Century" w:hAnsi="Century" w:hint="eastAsia"/>
            <w:color w:val="0000FF"/>
            <w:sz w:val="22"/>
            <w:u w:val="single"/>
            <w:rtl/>
          </w:rPr>
          <w:t>ר</w:t>
        </w:r>
        <w:r w:rsidR="00E93FCE" w:rsidRPr="00E93FCE">
          <w:rPr>
            <w:rFonts w:ascii="Century" w:hAnsi="Century"/>
            <w:color w:val="0000FF"/>
            <w:sz w:val="22"/>
            <w:u w:val="single"/>
            <w:rtl/>
          </w:rPr>
          <w:t xml:space="preserve"> 298/09</w:t>
        </w:r>
      </w:hyperlink>
      <w:r>
        <w:rPr>
          <w:rFonts w:ascii="Century" w:hAnsi="Century"/>
          <w:sz w:val="22"/>
          <w:rtl/>
        </w:rPr>
        <w:t xml:space="preserve">. להלן: </w:t>
      </w:r>
      <w:r>
        <w:rPr>
          <w:rFonts w:ascii="Century" w:hAnsi="Century" w:cs="Miriam"/>
          <w:b/>
          <w:spacing w:val="0"/>
          <w:sz w:val="22"/>
          <w:szCs w:val="24"/>
          <w:rtl/>
        </w:rPr>
        <w:t>תיק הפש"ר</w:t>
      </w:r>
      <w:r>
        <w:rPr>
          <w:rFonts w:ascii="Century" w:hAnsi="Century"/>
          <w:sz w:val="22"/>
          <w:rtl/>
        </w:rPr>
        <w:t xml:space="preserve">), במסגרתו אושרו נגד החייב תביעות חוב על סך של כ-9 מיליון ש"ח (להלן: </w:t>
      </w:r>
      <w:r>
        <w:rPr>
          <w:rFonts w:ascii="Century" w:hAnsi="Century" w:cs="Miriam"/>
          <w:b/>
          <w:spacing w:val="0"/>
          <w:sz w:val="22"/>
          <w:szCs w:val="24"/>
          <w:rtl/>
        </w:rPr>
        <w:t>החוב</w:t>
      </w:r>
      <w:r>
        <w:rPr>
          <w:rFonts w:ascii="Century" w:hAnsi="Century"/>
          <w:sz w:val="22"/>
          <w:rtl/>
        </w:rPr>
        <w:t xml:space="preserve">). ביום 9.11.2009 ניתן צו כינוס לנכסי החייב, וביום 8.11.2010 הוא הוכרז כפושט רגל. ההליכים בתיק הפש"ר מתנהלים מאז ועד היום, דהיינו מזה כחמש עשרה שנים. ביום 14.9.2023 הורה בית המשפט קמא כי בהתאם לצו הפינוי שניתן נגד החייב (ביום 21.6.2023), וטרם מומש, עליו לפנות בתוך 45 יום בית דו-קומתי המצוי בחלקה 40 גוש 1533 בכפר כמא, אשר בו הוא מתגורר </w:t>
      </w:r>
      <w:r w:rsidR="00AA5DB1">
        <w:rPr>
          <w:rFonts w:ascii="Century" w:hAnsi="Century"/>
          <w:sz w:val="22"/>
          <w:rtl/>
        </w:rPr>
        <w:t xml:space="preserve">מזה שנים </w:t>
      </w:r>
      <w:r w:rsidR="00AA5DB1">
        <w:rPr>
          <w:rFonts w:ascii="Century" w:hAnsi="Century"/>
          <w:sz w:val="22"/>
          <w:rtl/>
        </w:rPr>
        <w:lastRenderedPageBreak/>
        <w:t xml:space="preserve">רבות </w:t>
      </w:r>
      <w:r>
        <w:rPr>
          <w:rFonts w:ascii="Century" w:hAnsi="Century"/>
          <w:sz w:val="22"/>
          <w:rtl/>
        </w:rPr>
        <w:t xml:space="preserve">יחד עם בני משפחתו, ובכללם המבקש ובני משפחתו הגרעינית (להלן: </w:t>
      </w:r>
      <w:r>
        <w:rPr>
          <w:rFonts w:ascii="Century" w:hAnsi="Century" w:cs="Miriam"/>
          <w:b/>
          <w:spacing w:val="0"/>
          <w:sz w:val="22"/>
          <w:szCs w:val="24"/>
          <w:rtl/>
        </w:rPr>
        <w:t>הנכס</w:t>
      </w:r>
      <w:r>
        <w:rPr>
          <w:rFonts w:ascii="Century" w:hAnsi="Century"/>
          <w:sz w:val="22"/>
          <w:rtl/>
        </w:rPr>
        <w:t xml:space="preserve">). זאת, אלא אם יסולק חוב הפיגורים בו הוא חב ותוגש הצעת הסדר שהולמת את הנחיות בית המשפט. משלא התמלאו התנאים הללו, ולבקשת המשיבה 3, הנאמנת בתיק הפש"ר (להלן: </w:t>
      </w:r>
      <w:r>
        <w:rPr>
          <w:rFonts w:ascii="Century" w:hAnsi="Century" w:cs="Miriam"/>
          <w:b/>
          <w:spacing w:val="0"/>
          <w:sz w:val="22"/>
          <w:szCs w:val="24"/>
          <w:rtl/>
        </w:rPr>
        <w:t>הנאמנת</w:t>
      </w:r>
      <w:r>
        <w:rPr>
          <w:rFonts w:ascii="Century" w:hAnsi="Century"/>
          <w:sz w:val="22"/>
          <w:rtl/>
        </w:rPr>
        <w:t xml:space="preserve">), ביום 11.10.2023 חתם בית המשפט קמא על פסיקתה המורה </w:t>
      </w:r>
      <w:r>
        <w:rPr>
          <w:rFonts w:ascii="Century" w:hAnsi="Century"/>
          <w:rtl/>
        </w:rPr>
        <w:t>על "</w:t>
      </w:r>
      <w:r>
        <w:rPr>
          <w:rFonts w:ascii="Century" w:hAnsi="Century" w:cs="Miriam"/>
          <w:b/>
          <w:spacing w:val="0"/>
          <w:sz w:val="22"/>
          <w:szCs w:val="24"/>
          <w:rtl/>
        </w:rPr>
        <w:t xml:space="preserve">פינוי הנכס בן שתי הקומות (קרקע וראשונה, שבכל אחת מהן יחידת דיור), של החייב </w:t>
      </w:r>
      <w:r>
        <w:rPr>
          <w:rFonts w:ascii="Century" w:hAnsi="Century"/>
          <w:sz w:val="22"/>
          <w:rtl/>
        </w:rPr>
        <w:t>[...]</w:t>
      </w:r>
      <w:r>
        <w:rPr>
          <w:rFonts w:ascii="Century" w:hAnsi="Century" w:cs="Miriam"/>
          <w:b/>
          <w:spacing w:val="0"/>
          <w:sz w:val="22"/>
          <w:szCs w:val="24"/>
          <w:rtl/>
        </w:rPr>
        <w:t xml:space="preserve"> מכל אדם וחפץ, לרבות החייב </w:t>
      </w:r>
      <w:r>
        <w:rPr>
          <w:rFonts w:ascii="Century" w:hAnsi="Century"/>
          <w:sz w:val="22"/>
          <w:rtl/>
        </w:rPr>
        <w:t>[...]</w:t>
      </w:r>
      <w:r>
        <w:rPr>
          <w:rFonts w:ascii="Century" w:hAnsi="Century" w:cs="Miriam"/>
          <w:b/>
          <w:spacing w:val="0"/>
          <w:sz w:val="22"/>
          <w:szCs w:val="24"/>
          <w:rtl/>
        </w:rPr>
        <w:t xml:space="preserve"> ו/או מי מבני משפחתו</w:t>
      </w:r>
      <w:r>
        <w:rPr>
          <w:rFonts w:ascii="Century" w:hAnsi="Century"/>
          <w:sz w:val="22"/>
          <w:rtl/>
        </w:rPr>
        <w:t xml:space="preserve">" (להלן: </w:t>
      </w:r>
      <w:r>
        <w:rPr>
          <w:rFonts w:ascii="Century" w:hAnsi="Century" w:cs="Miriam"/>
          <w:b/>
          <w:spacing w:val="0"/>
          <w:sz w:val="22"/>
          <w:szCs w:val="24"/>
          <w:rtl/>
        </w:rPr>
        <w:t>הפסיקתה</w:t>
      </w:r>
      <w:r>
        <w:rPr>
          <w:rFonts w:ascii="Century" w:hAnsi="Century"/>
          <w:sz w:val="22"/>
          <w:rtl/>
        </w:rPr>
        <w:t>).</w:t>
      </w:r>
      <w:r>
        <w:rPr>
          <w:rtl/>
        </w:rPr>
        <w:t xml:space="preserve"> על רקע זאת, ולאחר שניסיון של החייב לעכב את הליכי הפינוי נדחה ביום 21.12.2023, הגיש החייב לבית משפט זה בקשת רשות ערעור ובקשה לעיכוב ביצוע באותו עניין, ואלו נדחו ביום 16.1.2024 (</w:t>
      </w:r>
      <w:hyperlink r:id="rId10"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449/24</w:t>
        </w:r>
      </w:hyperlink>
      <w:r>
        <w:rPr>
          <w:rtl/>
        </w:rPr>
        <w:t xml:space="preserve"> </w:t>
      </w:r>
      <w:r>
        <w:rPr>
          <w:rFonts w:ascii="Century" w:hAnsi="Century" w:cs="Miriam"/>
          <w:b/>
          <w:spacing w:val="0"/>
          <w:sz w:val="22"/>
          <w:szCs w:val="24"/>
          <w:rtl/>
        </w:rPr>
        <w:t>שמסי נ' עו"ד רענן נשר שלומית</w:t>
      </w:r>
      <w:r w:rsidR="00CB508D">
        <w:rPr>
          <w:rFonts w:ascii="Century" w:hAnsi="Century" w:cs="Miriam" w:hint="cs"/>
          <w:b/>
          <w:spacing w:val="0"/>
          <w:sz w:val="22"/>
          <w:szCs w:val="24"/>
          <w:rtl/>
        </w:rPr>
        <w:t xml:space="preserve">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Fonts w:ascii="Century" w:hAnsi="Century" w:cs="Miriam"/>
          <w:b/>
          <w:spacing w:val="0"/>
          <w:sz w:val="22"/>
          <w:szCs w:val="24"/>
          <w:rtl/>
        </w:rPr>
        <w:t xml:space="preserve"> </w:t>
      </w:r>
      <w:r>
        <w:rPr>
          <w:rFonts w:ascii="Century" w:hAnsi="Century"/>
          <w:sz w:val="22"/>
          <w:rtl/>
        </w:rPr>
        <w:t>(16.1.2024))</w:t>
      </w:r>
      <w:r>
        <w:rPr>
          <w:rtl/>
        </w:rPr>
        <w:t>. לבסוף, ולאחר שבקשת עיכוב ביצוע נוספת שהגיש החייב לבית המשפט קמא נדחתה, פונה הנכס מיושביו ביום 23.1.2024.</w:t>
      </w:r>
    </w:p>
    <w:p w14:paraId="6A039DA2" w14:textId="77777777" w:rsidR="00C95DBB" w:rsidRDefault="00C95DBB" w:rsidP="00C95DBB">
      <w:pPr>
        <w:pStyle w:val="Ruller40"/>
      </w:pPr>
    </w:p>
    <w:p w14:paraId="27C34F28" w14:textId="77777777" w:rsidR="00C95DBB" w:rsidRDefault="00000000" w:rsidP="00C95DBB">
      <w:pPr>
        <w:pStyle w:val="Ruller4"/>
      </w:pPr>
      <w:r>
        <w:rPr>
          <w:rtl/>
        </w:rPr>
        <w:t xml:space="preserve">עניינה של בקשת רשות הערעור דנן בקומת הקרקע של הנכס, בה על פי הנטען התגורר המבקש (בנו של החייב), מר אדם שמסי (להלן: </w:t>
      </w:r>
      <w:r>
        <w:rPr>
          <w:rFonts w:ascii="Century" w:hAnsi="Century" w:cs="Miriam"/>
          <w:b/>
          <w:spacing w:val="0"/>
          <w:sz w:val="22"/>
          <w:szCs w:val="24"/>
          <w:rtl/>
        </w:rPr>
        <w:t xml:space="preserve">קומת הקרקע </w:t>
      </w:r>
      <w:r>
        <w:rPr>
          <w:rFonts w:ascii="Century" w:hAnsi="Century"/>
          <w:sz w:val="22"/>
          <w:rtl/>
        </w:rPr>
        <w:t>ו-</w:t>
      </w:r>
      <w:r>
        <w:rPr>
          <w:rFonts w:ascii="Century" w:hAnsi="Century" w:cs="Miriam"/>
          <w:b/>
          <w:spacing w:val="0"/>
          <w:sz w:val="22"/>
          <w:szCs w:val="24"/>
          <w:rtl/>
        </w:rPr>
        <w:t>המבקש</w:t>
      </w:r>
      <w:r>
        <w:rPr>
          <w:rFonts w:ascii="Century" w:hAnsi="Century"/>
          <w:sz w:val="22"/>
          <w:rtl/>
        </w:rPr>
        <w:t>, בהתאמה)</w:t>
      </w:r>
      <w:r>
        <w:rPr>
          <w:rtl/>
        </w:rPr>
        <w:t>, יחד עם בני משפחתו הגרעינית</w:t>
      </w:r>
      <w:r>
        <w:rPr>
          <w:rFonts w:ascii="Century" w:hAnsi="Century"/>
          <w:sz w:val="22"/>
          <w:rtl/>
        </w:rPr>
        <w:t xml:space="preserve">. </w:t>
      </w:r>
      <w:r>
        <w:rPr>
          <w:rtl/>
        </w:rPr>
        <w:t xml:space="preserve">כארבעה חודשים מעת שפונה הנכס, ביום 29.5.2024, הגיש המבקש תובענה לבית המשפט לענייני משפחה בטבריה (תפ"ש 72398-05-24), במסגרתה ביקש, בין היתר, כי בית המשפט יצהיר עליו כבעלים של קומת הקרקע, במקום החייב (להלן: </w:t>
      </w:r>
      <w:r>
        <w:rPr>
          <w:rFonts w:ascii="Century" w:hAnsi="Century" w:cs="Miriam"/>
          <w:b/>
          <w:spacing w:val="0"/>
          <w:sz w:val="22"/>
          <w:szCs w:val="24"/>
          <w:rtl/>
        </w:rPr>
        <w:t>תובענת המבקש</w:t>
      </w:r>
      <w:r>
        <w:rPr>
          <w:rFonts w:ascii="Century" w:hAnsi="Century"/>
          <w:sz w:val="22"/>
          <w:rtl/>
        </w:rPr>
        <w:t>)</w:t>
      </w:r>
      <w:r>
        <w:rPr>
          <w:rtl/>
        </w:rPr>
        <w:t xml:space="preserve">. למחרת, ובהתאם לכך, הגיש המבקש בקשה בתיק הפש"ר לביטול הפסיקתה (להלן: </w:t>
      </w:r>
      <w:r>
        <w:rPr>
          <w:rFonts w:ascii="Century" w:hAnsi="Century" w:cs="Miriam"/>
          <w:b/>
          <w:spacing w:val="0"/>
          <w:sz w:val="22"/>
          <w:szCs w:val="24"/>
          <w:rtl/>
        </w:rPr>
        <w:t>הבקשה לביטול הפסיקתה</w:t>
      </w:r>
      <w:r>
        <w:rPr>
          <w:rFonts w:ascii="Century" w:hAnsi="Century"/>
          <w:sz w:val="22"/>
          <w:rtl/>
        </w:rPr>
        <w:t>)</w:t>
      </w:r>
      <w:r>
        <w:rPr>
          <w:rtl/>
        </w:rPr>
        <w:t xml:space="preserve">. הנאמנת, מצדה, הגישה לבית המשפט המחוזי בנצרת בקשה להעברת הדיון בתובענת המבקש אל תיק הפש"ר (להלן: </w:t>
      </w:r>
      <w:r>
        <w:rPr>
          <w:rFonts w:ascii="Century" w:hAnsi="Century" w:cs="Miriam"/>
          <w:b/>
          <w:spacing w:val="0"/>
          <w:sz w:val="22"/>
          <w:szCs w:val="24"/>
          <w:rtl/>
        </w:rPr>
        <w:t>הבקשה להעברת דיון</w:t>
      </w:r>
      <w:r>
        <w:rPr>
          <w:rtl/>
        </w:rPr>
        <w:t xml:space="preserve">); וכן בקשה למתן פסק דין הצהרתי לפיו החייב הוא בעל הזכויות בנכס, בין היתר לנוכח טענות המבקש כי הוא בעל הזכויות בקומת הקרקע (להלן: </w:t>
      </w:r>
      <w:r>
        <w:rPr>
          <w:rFonts w:ascii="Century" w:hAnsi="Century" w:cs="Miriam"/>
          <w:b/>
          <w:spacing w:val="0"/>
          <w:sz w:val="22"/>
          <w:szCs w:val="24"/>
          <w:rtl/>
        </w:rPr>
        <w:t>הבקשה למתן פסק דין הצהרתי</w:t>
      </w:r>
      <w:r>
        <w:rPr>
          <w:rtl/>
        </w:rPr>
        <w:t>).</w:t>
      </w:r>
    </w:p>
    <w:p w14:paraId="0AC07C50" w14:textId="77777777" w:rsidR="00C95DBB" w:rsidRDefault="00C95DBB" w:rsidP="00C95DBB">
      <w:pPr>
        <w:pStyle w:val="Ruller40"/>
        <w:rPr>
          <w:rtl/>
        </w:rPr>
      </w:pPr>
    </w:p>
    <w:p w14:paraId="156DC72E" w14:textId="77777777" w:rsidR="00C95DBB" w:rsidRDefault="00000000" w:rsidP="00C95DBB">
      <w:pPr>
        <w:pStyle w:val="Ruller40"/>
        <w:rPr>
          <w:rFonts w:ascii="Century" w:hAnsi="Century" w:cs="Miriam"/>
          <w:b/>
          <w:spacing w:val="0"/>
          <w:szCs w:val="24"/>
          <w:rtl/>
        </w:rPr>
      </w:pPr>
      <w:r>
        <w:rPr>
          <w:rFonts w:ascii="Century" w:hAnsi="Century" w:cs="Miriam"/>
          <w:b/>
          <w:spacing w:val="0"/>
          <w:szCs w:val="24"/>
          <w:rtl/>
        </w:rPr>
        <w:t>החלטת בית המשפט קמא</w:t>
      </w:r>
    </w:p>
    <w:p w14:paraId="2F7EF971" w14:textId="77777777" w:rsidR="00C95DBB" w:rsidRDefault="00C95DBB" w:rsidP="00C95DBB">
      <w:pPr>
        <w:pStyle w:val="Ruller40"/>
        <w:rPr>
          <w:rFonts w:ascii="Century" w:hAnsi="Century" w:cs="Miriam"/>
          <w:b/>
          <w:spacing w:val="0"/>
          <w:szCs w:val="24"/>
          <w:rtl/>
        </w:rPr>
      </w:pPr>
    </w:p>
    <w:p w14:paraId="353433B3" w14:textId="77777777" w:rsidR="00C95DBB" w:rsidRDefault="00000000" w:rsidP="00C95DBB">
      <w:pPr>
        <w:pStyle w:val="Ruller4"/>
        <w:rPr>
          <w:rtl/>
        </w:rPr>
      </w:pPr>
      <w:r>
        <w:rPr>
          <w:rtl/>
        </w:rPr>
        <w:t xml:space="preserve">מספר ימים לאחר שהתקיים דיון בעניינן, ביום 25.7.2024 </w:t>
      </w:r>
      <w:r>
        <w:rPr>
          <w:rFonts w:ascii="Century" w:hAnsi="Century"/>
          <w:rtl/>
        </w:rPr>
        <w:t xml:space="preserve">הכריע בית המשפט קמא בשלוש הבקשות האמורות – הבקשה לביטול הפסיקתה, הבקשה להעברת דיון והבקשה למתן פסק דין הצהרתי (להלן: </w:t>
      </w:r>
      <w:r>
        <w:rPr>
          <w:rFonts w:ascii="Century" w:hAnsi="Century" w:cs="Miriam"/>
          <w:b/>
          <w:spacing w:val="0"/>
          <w:sz w:val="22"/>
          <w:szCs w:val="24"/>
          <w:rtl/>
        </w:rPr>
        <w:t>החלטת בית המשפט קמא</w:t>
      </w:r>
      <w:r>
        <w:rPr>
          <w:rFonts w:ascii="Century" w:hAnsi="Century"/>
          <w:rtl/>
        </w:rPr>
        <w:t xml:space="preserve"> או </w:t>
      </w:r>
      <w:r>
        <w:rPr>
          <w:rFonts w:cs="Miriam"/>
          <w:b/>
          <w:spacing w:val="0"/>
          <w:sz w:val="22"/>
          <w:szCs w:val="24"/>
          <w:rtl/>
        </w:rPr>
        <w:t>ההחלטה</w:t>
      </w:r>
      <w:r>
        <w:rPr>
          <w:rtl/>
        </w:rPr>
        <w:t xml:space="preserve">). </w:t>
      </w:r>
      <w:r>
        <w:rPr>
          <w:rFonts w:cs="Miriam"/>
          <w:b/>
          <w:spacing w:val="0"/>
          <w:sz w:val="22"/>
          <w:szCs w:val="24"/>
          <w:rtl/>
        </w:rPr>
        <w:t>ראשית</w:t>
      </w:r>
      <w:r>
        <w:rPr>
          <w:rtl/>
        </w:rPr>
        <w:t>, בית המשפט קיבל את בקשת הנאמנת והורה על העברת הדיון בתובענת המבקש לתיק הפש"ר, וזאת מכוח</w:t>
      </w:r>
      <w:r>
        <w:rPr>
          <w:rFonts w:ascii="Century" w:hAnsi="Century"/>
          <w:rtl/>
        </w:rPr>
        <w:t xml:space="preserve"> </w:t>
      </w:r>
      <w:hyperlink r:id="rId11" w:history="1">
        <w:r w:rsidR="009A7C4C" w:rsidRPr="009A7C4C">
          <w:rPr>
            <w:rStyle w:val="Hyperlink"/>
            <w:rFonts w:hint="eastAsia"/>
            <w:rtl/>
          </w:rPr>
          <w:t>סעיף</w:t>
        </w:r>
        <w:r w:rsidR="009A7C4C" w:rsidRPr="009A7C4C">
          <w:rPr>
            <w:rStyle w:val="Hyperlink"/>
            <w:rtl/>
          </w:rPr>
          <w:t xml:space="preserve"> 178(</w:t>
        </w:r>
        <w:r w:rsidR="009A7C4C" w:rsidRPr="009A7C4C">
          <w:rPr>
            <w:rStyle w:val="Hyperlink"/>
            <w:rFonts w:hint="eastAsia"/>
            <w:rtl/>
          </w:rPr>
          <w:t>ג</w:t>
        </w:r>
        <w:r w:rsidR="009A7C4C" w:rsidRPr="009A7C4C">
          <w:rPr>
            <w:rStyle w:val="Hyperlink"/>
            <w:rtl/>
          </w:rPr>
          <w:t>)</w:t>
        </w:r>
      </w:hyperlink>
      <w:r>
        <w:rPr>
          <w:rtl/>
        </w:rPr>
        <w:t xml:space="preserve"> ל</w:t>
      </w:r>
      <w:hyperlink r:id="rId12" w:history="1">
        <w:r w:rsidR="00E93FCE" w:rsidRPr="00E93FCE">
          <w:rPr>
            <w:rFonts w:hint="eastAsia"/>
            <w:color w:val="0000FF"/>
            <w:u w:val="single"/>
            <w:rtl/>
          </w:rPr>
          <w:t>פקודת</w:t>
        </w:r>
        <w:r w:rsidR="00E93FCE" w:rsidRPr="00E93FCE">
          <w:rPr>
            <w:color w:val="0000FF"/>
            <w:u w:val="single"/>
            <w:rtl/>
          </w:rPr>
          <w:t xml:space="preserve"> </w:t>
        </w:r>
        <w:r w:rsidR="00E93FCE" w:rsidRPr="00E93FCE">
          <w:rPr>
            <w:rFonts w:hint="eastAsia"/>
            <w:color w:val="0000FF"/>
            <w:u w:val="single"/>
            <w:rtl/>
          </w:rPr>
          <w:t>פשיטת</w:t>
        </w:r>
        <w:r w:rsidR="00E93FCE" w:rsidRPr="00E93FCE">
          <w:rPr>
            <w:color w:val="0000FF"/>
            <w:u w:val="single"/>
            <w:rtl/>
          </w:rPr>
          <w:t xml:space="preserve"> </w:t>
        </w:r>
        <w:r w:rsidR="00E93FCE" w:rsidRPr="00E93FCE">
          <w:rPr>
            <w:rFonts w:hint="eastAsia"/>
            <w:color w:val="0000FF"/>
            <w:u w:val="single"/>
            <w:rtl/>
          </w:rPr>
          <w:t>הרגל</w:t>
        </w:r>
      </w:hyperlink>
      <w:r>
        <w:rPr>
          <w:rtl/>
        </w:rPr>
        <w:t xml:space="preserve"> [נוסח חדש], התש"ם-1990 (להלן: </w:t>
      </w:r>
      <w:r>
        <w:rPr>
          <w:rFonts w:ascii="Century" w:hAnsi="Century" w:cs="Miriam"/>
          <w:b/>
          <w:spacing w:val="0"/>
          <w:sz w:val="22"/>
          <w:szCs w:val="24"/>
          <w:rtl/>
        </w:rPr>
        <w:t xml:space="preserve">הפקודה </w:t>
      </w:r>
      <w:r>
        <w:rPr>
          <w:rFonts w:ascii="Century" w:hAnsi="Century"/>
          <w:sz w:val="22"/>
          <w:rtl/>
        </w:rPr>
        <w:t>או</w:t>
      </w:r>
      <w:r>
        <w:rPr>
          <w:rFonts w:ascii="Century" w:hAnsi="Century" w:cs="Miriam"/>
          <w:b/>
          <w:spacing w:val="0"/>
          <w:sz w:val="22"/>
          <w:szCs w:val="24"/>
          <w:rtl/>
        </w:rPr>
        <w:t xml:space="preserve"> פקודת פשיטת הרגל</w:t>
      </w:r>
      <w:r>
        <w:rPr>
          <w:rFonts w:ascii="Century" w:hAnsi="Century"/>
          <w:sz w:val="22"/>
          <w:rtl/>
        </w:rPr>
        <w:t xml:space="preserve">), ובהתאם לפרשנות סעיף זה </w:t>
      </w:r>
      <w:hyperlink r:id="rId13" w:history="1">
        <w:r w:rsidR="009A7C4C" w:rsidRPr="009A7C4C">
          <w:rPr>
            <w:rStyle w:val="Hyperlink"/>
            <w:rFonts w:ascii="Century" w:hAnsi="Century" w:hint="eastAsia"/>
            <w:sz w:val="22"/>
            <w:rtl/>
          </w:rPr>
          <w:t>וסעיף</w:t>
        </w:r>
        <w:r w:rsidR="009A7C4C" w:rsidRPr="009A7C4C">
          <w:rPr>
            <w:rStyle w:val="Hyperlink"/>
            <w:rFonts w:ascii="Century" w:hAnsi="Century"/>
            <w:sz w:val="22"/>
            <w:rtl/>
          </w:rPr>
          <w:t xml:space="preserve"> 22</w:t>
        </w:r>
      </w:hyperlink>
      <w:r>
        <w:rPr>
          <w:rFonts w:ascii="Century" w:hAnsi="Century"/>
          <w:sz w:val="22"/>
          <w:rtl/>
        </w:rPr>
        <w:t xml:space="preserve"> לפקודה.</w:t>
      </w:r>
      <w:r>
        <w:rPr>
          <w:rtl/>
        </w:rPr>
        <w:t xml:space="preserve"> </w:t>
      </w:r>
      <w:r>
        <w:rPr>
          <w:rFonts w:ascii="Century" w:hAnsi="Century" w:cs="Miriam"/>
          <w:b/>
          <w:spacing w:val="0"/>
          <w:sz w:val="22"/>
          <w:szCs w:val="24"/>
          <w:rtl/>
        </w:rPr>
        <w:lastRenderedPageBreak/>
        <w:t>שנית</w:t>
      </w:r>
      <w:r>
        <w:rPr>
          <w:rtl/>
        </w:rPr>
        <w:t xml:space="preserve">, נדחתה בקשת המבקש לביטול הפסיקתה, בהינתן שזו ניתנה כדין, וכללה במפורש את פינוי המבקש ובני משפחתו, וכן לנוכח השיהוי שחל בהגשת בקשה זו מאז ארע הפינוי. </w:t>
      </w:r>
      <w:r>
        <w:rPr>
          <w:rFonts w:ascii="Century" w:hAnsi="Century" w:cs="Miriam"/>
          <w:b/>
          <w:spacing w:val="0"/>
          <w:sz w:val="22"/>
          <w:szCs w:val="24"/>
          <w:rtl/>
        </w:rPr>
        <w:t>שלישית</w:t>
      </w:r>
      <w:r>
        <w:rPr>
          <w:rFonts w:ascii="Century" w:hAnsi="Century"/>
          <w:sz w:val="22"/>
          <w:rtl/>
        </w:rPr>
        <w:t>, באשר לבקשה למתן פסק דין הצהרתי, בית המשפט הסתפק בהערה שלפיה בהינתן שהזכויות במקרקעין הנדונים הם בבעלות משותפת (במושע), "</w:t>
      </w:r>
      <w:r>
        <w:rPr>
          <w:rFonts w:ascii="Century" w:hAnsi="Century" w:cs="Miriam"/>
          <w:b/>
          <w:spacing w:val="0"/>
          <w:sz w:val="22"/>
          <w:szCs w:val="24"/>
          <w:rtl/>
        </w:rPr>
        <w:t>תשקול הנאמנת להגיש בקשה מתוקנת לפסק דין הצהרתי ותצרף אליה את כל המשיבים הרלוונטיים</w:t>
      </w:r>
      <w:r>
        <w:rPr>
          <w:rFonts w:cs="Miriam"/>
          <w:b/>
          <w:spacing w:val="0"/>
          <w:sz w:val="22"/>
          <w:szCs w:val="24"/>
          <w:rtl/>
        </w:rPr>
        <w:t>"</w:t>
      </w:r>
      <w:r>
        <w:rPr>
          <w:rFonts w:ascii="Century" w:hAnsi="Century"/>
          <w:sz w:val="22"/>
          <w:rtl/>
        </w:rPr>
        <w:t xml:space="preserve"> (עמ' 7 להחלטה). </w:t>
      </w:r>
    </w:p>
    <w:p w14:paraId="2EB03717" w14:textId="77777777" w:rsidR="00C95DBB" w:rsidRDefault="00C95DBB" w:rsidP="00C95DBB">
      <w:pPr>
        <w:pStyle w:val="Ruller40"/>
        <w:rPr>
          <w:rtl/>
        </w:rPr>
      </w:pPr>
    </w:p>
    <w:p w14:paraId="393E37C3" w14:textId="77777777" w:rsidR="00C95DBB" w:rsidRDefault="00000000" w:rsidP="00C95DBB">
      <w:pPr>
        <w:pStyle w:val="Ruller40"/>
        <w:ind w:firstLine="799"/>
        <w:rPr>
          <w:rtl/>
        </w:rPr>
      </w:pPr>
      <w:r>
        <w:rPr>
          <w:rtl/>
        </w:rPr>
        <w:t>מכאן בקשת רשות הערעור שלפניי.</w:t>
      </w:r>
    </w:p>
    <w:p w14:paraId="22EDF57B" w14:textId="77777777" w:rsidR="00C95DBB" w:rsidRDefault="00C95DBB" w:rsidP="00C95DBB">
      <w:pPr>
        <w:pStyle w:val="Ruller40"/>
        <w:rPr>
          <w:rtl/>
        </w:rPr>
      </w:pPr>
    </w:p>
    <w:p w14:paraId="1DEF27A8" w14:textId="77777777" w:rsidR="00C95DBB" w:rsidRDefault="00000000" w:rsidP="00C95DBB">
      <w:pPr>
        <w:pStyle w:val="Ruller40"/>
        <w:rPr>
          <w:rFonts w:ascii="Century" w:hAnsi="Century" w:cs="Miriam"/>
          <w:b/>
          <w:spacing w:val="0"/>
          <w:szCs w:val="24"/>
          <w:rtl/>
        </w:rPr>
      </w:pPr>
      <w:r>
        <w:rPr>
          <w:rFonts w:ascii="Century" w:hAnsi="Century" w:cs="Miriam"/>
          <w:b/>
          <w:spacing w:val="0"/>
          <w:szCs w:val="24"/>
          <w:rtl/>
        </w:rPr>
        <w:t>בקשת רשות הערעור</w:t>
      </w:r>
    </w:p>
    <w:p w14:paraId="7AD125CE" w14:textId="77777777" w:rsidR="00C95DBB" w:rsidRDefault="00C95DBB" w:rsidP="00C95DBB">
      <w:pPr>
        <w:pStyle w:val="Ruller40"/>
        <w:rPr>
          <w:rtl/>
        </w:rPr>
      </w:pPr>
    </w:p>
    <w:p w14:paraId="44A43E81" w14:textId="77777777" w:rsidR="00C95DBB" w:rsidRDefault="00000000" w:rsidP="00C95DBB">
      <w:pPr>
        <w:pStyle w:val="Ruller4"/>
        <w:rPr>
          <w:rtl/>
        </w:rPr>
      </w:pPr>
      <w:r>
        <w:rPr>
          <w:rtl/>
        </w:rPr>
        <w:t xml:space="preserve">בבקשת רשות הערעור טוען המבקש כי בית המשפט שגה בהחלטתו, על שלושת ראשיה. </w:t>
      </w:r>
      <w:r>
        <w:rPr>
          <w:rFonts w:ascii="Century" w:hAnsi="Century"/>
          <w:sz w:val="22"/>
          <w:rtl/>
        </w:rPr>
        <w:t>בכל</w:t>
      </w:r>
      <w:r>
        <w:rPr>
          <w:rtl/>
        </w:rPr>
        <w:t xml:space="preserve"> הנוגע </w:t>
      </w:r>
      <w:r>
        <w:rPr>
          <w:rFonts w:ascii="Century" w:hAnsi="Century"/>
          <w:sz w:val="22"/>
          <w:rtl/>
        </w:rPr>
        <w:t>לבקשה להעברת דיון</w:t>
      </w:r>
      <w:r>
        <w:rPr>
          <w:rtl/>
        </w:rPr>
        <w:t xml:space="preserve">, המבקש סבור כי </w:t>
      </w:r>
      <w:hyperlink r:id="rId14" w:history="1">
        <w:r w:rsidR="009A7C4C" w:rsidRPr="009A7C4C">
          <w:rPr>
            <w:rStyle w:val="Hyperlink"/>
            <w:rFonts w:hint="eastAsia"/>
            <w:rtl/>
          </w:rPr>
          <w:t>סעיף</w:t>
        </w:r>
        <w:r w:rsidR="009A7C4C" w:rsidRPr="009A7C4C">
          <w:rPr>
            <w:rStyle w:val="Hyperlink"/>
            <w:rtl/>
          </w:rPr>
          <w:t xml:space="preserve"> 178(</w:t>
        </w:r>
        <w:r w:rsidR="009A7C4C" w:rsidRPr="009A7C4C">
          <w:rPr>
            <w:rStyle w:val="Hyperlink"/>
            <w:rFonts w:hint="eastAsia"/>
            <w:rtl/>
          </w:rPr>
          <w:t>ג</w:t>
        </w:r>
        <w:r w:rsidR="009A7C4C" w:rsidRPr="009A7C4C">
          <w:rPr>
            <w:rStyle w:val="Hyperlink"/>
            <w:rtl/>
          </w:rPr>
          <w:t>)</w:t>
        </w:r>
      </w:hyperlink>
      <w:r>
        <w:rPr>
          <w:rtl/>
        </w:rPr>
        <w:t xml:space="preserve"> לפקודה מסמיך את בית המשפט של פשיטת רגל "למשוך" תובענות, כך שיידונו לפניו, רק בתיקים שכבר התנהלו במועד שבו ניתן צו כינוס הנכסים. לכן, כך נטען, מאחר שתובענת המבקש הוגשה בחלוף מספר שנים מעת שניתן צו כאמור, לא ניתן להעביר את הדיון בה לתיק הפש"ר. באשר </w:t>
      </w:r>
      <w:r>
        <w:rPr>
          <w:rFonts w:ascii="Century" w:hAnsi="Century"/>
          <w:sz w:val="22"/>
          <w:rtl/>
        </w:rPr>
        <w:t>לפסיקתה</w:t>
      </w:r>
      <w:r>
        <w:rPr>
          <w:rtl/>
        </w:rPr>
        <w:t xml:space="preserve">, נטען כי היא נוסחה באופן שגוי על ידי הנאמנת, כאשר משתמע ממנה שהחייב מתגורר בשתי הקומות בנכס, וזאת על אף שבכל אחת מהן ישנה יחידת דיור נפרדת, ובזו המצויה בקומת הקרקע מתגוררים המבקש ובני משפחתו הגרעינית. כך, הפינוי נעשה מבלי שהמבקש נזכר בפסיקתה; בהתעלם מזכויותיו בקומת הקרקע, לגישתו; ועל אף שלשיטתו הוא צד ג' אשר פגיעה בו אסורה על פי הדין. לצד זאת, המבקש גורס כי יש להורות על ביטול הפינוי והשבתו לקומת הקרקע, משום שלטענתו מכירת הנכס צפויה להימשך עוד זמן רב. לנוכח האמור, המבקש עותר, כסעד חלופי, כי יותר לו לשוב ולהתגורר בקומת הקרקע עד למכירתה. </w:t>
      </w:r>
      <w:r>
        <w:rPr>
          <w:rFonts w:ascii="Century" w:hAnsi="Century"/>
          <w:sz w:val="22"/>
          <w:rtl/>
        </w:rPr>
        <w:t>לבסוף, ביחס</w:t>
      </w:r>
      <w:r>
        <w:rPr>
          <w:rtl/>
        </w:rPr>
        <w:t xml:space="preserve"> לבקשת הנאמנת למתן פסק דין הצהרתי, אותה מזהה המבקש כהגשת תובענה חדשה, נטען כי הסמכות העניינית בנדון מסורה לבית המשפט לענייני משפחה, ולא לבית המשפט של פשיטת רגל, וכי העברת תובענה כזו לבית המשפט של פשיטת רגל שגויה מטעמים של יעילות דיונית.</w:t>
      </w:r>
    </w:p>
    <w:p w14:paraId="6BFEBFA4" w14:textId="77777777" w:rsidR="00C95DBB" w:rsidRDefault="00C95DBB" w:rsidP="00C95DBB">
      <w:pPr>
        <w:pStyle w:val="Ruller40"/>
        <w:rPr>
          <w:rtl/>
        </w:rPr>
      </w:pPr>
    </w:p>
    <w:p w14:paraId="270ADC2F" w14:textId="77777777" w:rsidR="00C95DBB" w:rsidRDefault="00000000" w:rsidP="00C95DBB">
      <w:pPr>
        <w:pStyle w:val="Ruller40"/>
        <w:rPr>
          <w:rFonts w:ascii="Century" w:hAnsi="Century" w:cs="Miriam"/>
          <w:b/>
          <w:spacing w:val="0"/>
          <w:szCs w:val="24"/>
          <w:rtl/>
        </w:rPr>
      </w:pPr>
      <w:r>
        <w:rPr>
          <w:rFonts w:ascii="Century" w:hAnsi="Century" w:cs="Miriam"/>
          <w:b/>
          <w:spacing w:val="0"/>
          <w:szCs w:val="24"/>
          <w:rtl/>
        </w:rPr>
        <w:t>דיון והכרעה</w:t>
      </w:r>
    </w:p>
    <w:p w14:paraId="66ADB63D" w14:textId="77777777" w:rsidR="00C95DBB" w:rsidRDefault="00C95DBB" w:rsidP="00C95DBB">
      <w:pPr>
        <w:pStyle w:val="Ruller40"/>
        <w:rPr>
          <w:rFonts w:ascii="Century" w:hAnsi="Century" w:cs="Miriam"/>
          <w:b/>
          <w:spacing w:val="0"/>
          <w:szCs w:val="24"/>
          <w:rtl/>
        </w:rPr>
      </w:pPr>
    </w:p>
    <w:p w14:paraId="313520B9" w14:textId="77777777" w:rsidR="00C95DBB" w:rsidRDefault="00000000" w:rsidP="00C95DBB">
      <w:pPr>
        <w:pStyle w:val="Ruller4"/>
        <w:rPr>
          <w:rtl/>
        </w:rPr>
      </w:pPr>
      <w:r>
        <w:rPr>
          <w:rtl/>
        </w:rPr>
        <w:t>לאחר שעיינתי בבקשת רשות הערעור על נספחיה, הגעתי לכלל מסקנה כי דינה להידחות אף מבלי להיזקק לתגובות המשיבים.</w:t>
      </w:r>
    </w:p>
    <w:p w14:paraId="5E351586" w14:textId="77777777" w:rsidR="00C95DBB" w:rsidRDefault="00C95DBB" w:rsidP="00C95DBB">
      <w:pPr>
        <w:pStyle w:val="Ruller4"/>
        <w:numPr>
          <w:ilvl w:val="0"/>
          <w:numId w:val="0"/>
        </w:numPr>
      </w:pPr>
    </w:p>
    <w:p w14:paraId="358797FD" w14:textId="77777777" w:rsidR="00C95DBB" w:rsidRDefault="00000000" w:rsidP="00C95DBB">
      <w:pPr>
        <w:pStyle w:val="Ruller4"/>
      </w:pPr>
      <w:r>
        <w:rPr>
          <w:rtl/>
        </w:rPr>
        <w:t xml:space="preserve"> </w:t>
      </w:r>
      <w:r>
        <w:rPr>
          <w:rFonts w:hint="cs"/>
          <w:rtl/>
        </w:rPr>
        <w:t xml:space="preserve">הלכה ידועה היא כי ערכאת הערעור תיטה שלא להתערב בשיקול דעתו של בית משפט של פשיטת רגל, וזאת לנוכח המומחיות הרבה של בית משפט זה בתחומו, וכן לאור התרשמותו הישירה מבעלי הדין ומנסיבות העניין בכללותן (ראו, מני רבים: </w:t>
      </w:r>
      <w:hyperlink r:id="rId15"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2953/20</w:t>
        </w:r>
      </w:hyperlink>
      <w:r>
        <w:rPr>
          <w:rFonts w:hint="cs"/>
          <w:rtl/>
        </w:rPr>
        <w:t xml:space="preserve"> </w:t>
      </w:r>
      <w:r>
        <w:rPr>
          <w:rFonts w:ascii="Century" w:hAnsi="Century" w:cs="Miriam"/>
          <w:b/>
          <w:spacing w:val="0"/>
          <w:sz w:val="22"/>
          <w:szCs w:val="24"/>
          <w:rtl/>
        </w:rPr>
        <w:t>לורנצי נ' סיטי א.ק אחזקות בע"מ</w:t>
      </w:r>
      <w:r>
        <w:rPr>
          <w:rtl/>
        </w:rPr>
        <w:t xml:space="preserve">, פסקה 15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(21.7.2020); </w:t>
      </w:r>
      <w:hyperlink r:id="rId16"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4656/20</w:t>
        </w:r>
      </w:hyperlink>
      <w:r>
        <w:rPr>
          <w:rtl/>
        </w:rPr>
        <w:t xml:space="preserve"> </w:t>
      </w:r>
      <w:r>
        <w:rPr>
          <w:rFonts w:ascii="Century" w:hAnsi="Century" w:cs="Miriam"/>
          <w:b/>
          <w:spacing w:val="0"/>
          <w:sz w:val="22"/>
          <w:szCs w:val="24"/>
          <w:rtl/>
        </w:rPr>
        <w:t>רוזמן נ' כונס הנכסים הרשמי</w:t>
      </w:r>
      <w:r>
        <w:rPr>
          <w:rtl/>
        </w:rPr>
        <w:t xml:space="preserve">, פסקה 10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(17.8.2020); </w:t>
      </w:r>
      <w:hyperlink r:id="rId17"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1288/24</w:t>
        </w:r>
      </w:hyperlink>
      <w:r>
        <w:rPr>
          <w:rtl/>
        </w:rPr>
        <w:t xml:space="preserve"> </w:t>
      </w:r>
      <w:r>
        <w:rPr>
          <w:rFonts w:ascii="Century" w:hAnsi="Century" w:cs="Miriam"/>
          <w:b/>
          <w:spacing w:val="0"/>
          <w:sz w:val="22"/>
          <w:szCs w:val="24"/>
          <w:rtl/>
        </w:rPr>
        <w:t>לבנה ניהול ופיתוח נדל"ן בע"מ נ' המנהל המיוחד של החברה שבפירוק</w:t>
      </w:r>
      <w:r>
        <w:rPr>
          <w:rFonts w:ascii="Century" w:hAnsi="Century"/>
          <w:sz w:val="22"/>
          <w:rtl/>
        </w:rPr>
        <w:t>, פסקה 12</w:t>
      </w:r>
      <w:r w:rsidR="00CB508D">
        <w:rPr>
          <w:rFonts w:ascii="Century" w:hAnsi="Century" w:hint="cs"/>
          <w:sz w:val="22"/>
          <w:rtl/>
        </w:rPr>
        <w:t xml:space="preserve">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Fonts w:ascii="Century" w:hAnsi="Century"/>
          <w:sz w:val="22"/>
          <w:rtl/>
        </w:rPr>
        <w:t xml:space="preserve"> (21.2.2024)</w:t>
      </w:r>
      <w:r>
        <w:rPr>
          <w:rtl/>
        </w:rPr>
        <w:t>). מהטעמים שאפרט כעת, לא מצאתי כי המקרה שלפניי נמנה עם אותם מקרים חריגים בהם מוצדקת התערבות כאמור.</w:t>
      </w:r>
    </w:p>
    <w:p w14:paraId="2DDE8460" w14:textId="77777777" w:rsidR="00C95DBB" w:rsidRDefault="00C95DBB" w:rsidP="00C95DBB">
      <w:pPr>
        <w:pStyle w:val="Ruller40"/>
        <w:rPr>
          <w:rtl/>
        </w:rPr>
      </w:pPr>
    </w:p>
    <w:p w14:paraId="4C892AF2" w14:textId="77777777" w:rsidR="00C95DBB" w:rsidRDefault="00000000" w:rsidP="00C95DBB">
      <w:pPr>
        <w:pStyle w:val="Ruller4"/>
        <w:rPr>
          <w:rtl/>
        </w:rPr>
      </w:pPr>
      <w:r>
        <w:rPr>
          <w:rFonts w:ascii="Century" w:hAnsi="Century" w:cs="Miriam"/>
          <w:b/>
          <w:spacing w:val="0"/>
          <w:sz w:val="22"/>
          <w:szCs w:val="24"/>
          <w:rtl/>
        </w:rPr>
        <w:t>ראשית</w:t>
      </w:r>
      <w:r>
        <w:rPr>
          <w:rFonts w:ascii="Century" w:hAnsi="Century"/>
          <w:sz w:val="22"/>
          <w:rtl/>
        </w:rPr>
        <w:t>,</w:t>
      </w:r>
      <w:r>
        <w:rPr>
          <w:rtl/>
        </w:rPr>
        <w:t xml:space="preserve"> לא מצאתי פגם בהחלטת בית המשפט קמא בכל הנוגע להעברת הדיון בתובענת המבקש לתיק הפש"ר. </w:t>
      </w:r>
      <w:hyperlink r:id="rId18" w:history="1">
        <w:r w:rsidR="009A7C4C" w:rsidRPr="009A7C4C">
          <w:rPr>
            <w:rStyle w:val="Hyperlink"/>
            <w:rFonts w:hint="eastAsia"/>
            <w:rtl/>
          </w:rPr>
          <w:t>סעיף</w:t>
        </w:r>
        <w:r w:rsidR="009A7C4C" w:rsidRPr="009A7C4C">
          <w:rPr>
            <w:rStyle w:val="Hyperlink"/>
            <w:rtl/>
          </w:rPr>
          <w:t xml:space="preserve"> 178(</w:t>
        </w:r>
        <w:r w:rsidR="009A7C4C" w:rsidRPr="009A7C4C">
          <w:rPr>
            <w:rStyle w:val="Hyperlink"/>
            <w:rFonts w:hint="eastAsia"/>
            <w:rtl/>
          </w:rPr>
          <w:t>ג</w:t>
        </w:r>
        <w:r w:rsidR="009A7C4C" w:rsidRPr="009A7C4C">
          <w:rPr>
            <w:rStyle w:val="Hyperlink"/>
            <w:rtl/>
          </w:rPr>
          <w:t>)</w:t>
        </w:r>
      </w:hyperlink>
      <w:r>
        <w:rPr>
          <w:rtl/>
        </w:rPr>
        <w:t xml:space="preserve"> לפקודת פשיטת רגל, הרלוונטי בהקשר זה, מורה כך:</w:t>
      </w:r>
    </w:p>
    <w:p w14:paraId="4541581C" w14:textId="77777777" w:rsidR="00C95DBB" w:rsidRDefault="00C95DBB" w:rsidP="00C95DBB">
      <w:pPr>
        <w:pStyle w:val="Ruller40"/>
        <w:rPr>
          <w:sz w:val="12"/>
          <w:szCs w:val="18"/>
          <w:rtl/>
        </w:rPr>
      </w:pPr>
    </w:p>
    <w:p w14:paraId="76DE0DF9" w14:textId="77777777" w:rsidR="00C95DBB" w:rsidRDefault="00000000" w:rsidP="00C95DBB">
      <w:pPr>
        <w:pStyle w:val="Ruller5"/>
      </w:pPr>
      <w:r>
        <w:rPr>
          <w:rtl/>
        </w:rPr>
        <w:t>ניתן בבית משפט מחוזי צו כינוס לפי פקודה זו, רשאי השופט שנתן את הצו, אם ראה לנכון ובלי צורך בהסכמה, להורות שתועבר לבית משפט זה כל תובענה התלויה ועומדת בבית משפט אחר שפושט הרגל פתח או המשיך בה או שפתחו או המשיכו בה נגדו; והשופט שנתן את הצו ידון בתובענה.</w:t>
      </w:r>
    </w:p>
    <w:p w14:paraId="3FCB0790" w14:textId="77777777" w:rsidR="00C95DBB" w:rsidRDefault="00C95DBB" w:rsidP="00C95DBB">
      <w:pPr>
        <w:pStyle w:val="Ruller40"/>
        <w:rPr>
          <w:rtl/>
        </w:rPr>
      </w:pPr>
    </w:p>
    <w:p w14:paraId="6AEDEDC3" w14:textId="77777777" w:rsidR="00C95DBB" w:rsidRDefault="00000000" w:rsidP="00C95DBB">
      <w:pPr>
        <w:pStyle w:val="Ruller40"/>
        <w:ind w:firstLine="799"/>
        <w:rPr>
          <w:rtl/>
        </w:rPr>
      </w:pPr>
      <w:r>
        <w:rPr>
          <w:rtl/>
        </w:rPr>
        <w:t xml:space="preserve">בפשטות, סעיף זה מקנה לבית המשפט המחוזי, לאחר מתן צו הכינוס, את הסמכות להעביר אליו כל תובענה התלויה ועומדת בבית משפט אחר אשר פושט הרגל פתח או המשיך בה, או שפתחו או המשיכו בה נגדו. טענתו של המבקש, כזכור, היא כי לפי הוראת הסעיף ניתן להעביר לבית משפט כאמור רק תובענה אשר הייתה תלויה ועומדת </w:t>
      </w:r>
      <w:r>
        <w:rPr>
          <w:rFonts w:ascii="Century" w:hAnsi="Century" w:cs="Miriam"/>
          <w:b/>
          <w:spacing w:val="0"/>
          <w:szCs w:val="24"/>
          <w:rtl/>
        </w:rPr>
        <w:t>בעת שניתן צו הכינוס</w:t>
      </w:r>
      <w:r>
        <w:rPr>
          <w:rtl/>
        </w:rPr>
        <w:t xml:space="preserve">, כלומר רק תובענה שהוגשה </w:t>
      </w:r>
      <w:r>
        <w:rPr>
          <w:rFonts w:ascii="Century" w:hAnsi="Century" w:cs="Miriam"/>
          <w:b/>
          <w:spacing w:val="0"/>
          <w:szCs w:val="24"/>
          <w:rtl/>
        </w:rPr>
        <w:t>בטרם</w:t>
      </w:r>
      <w:r>
        <w:rPr>
          <w:rtl/>
        </w:rPr>
        <w:t xml:space="preserve"> ניתן צו כאמור. ואולם, אף שלשון הסעיף סובלת פרשנות כזו, אין לקבל אותה, שכן כפי שקבע בית המשפט קמא, סמכותו להעברת "</w:t>
      </w:r>
      <w:r>
        <w:rPr>
          <w:rFonts w:ascii="Century" w:hAnsi="Century" w:cs="Miriam"/>
          <w:b/>
          <w:spacing w:val="0"/>
          <w:szCs w:val="24"/>
          <w:rtl/>
        </w:rPr>
        <w:t>כל תובענה התלויה ועומדת בבית משפט אחר</w:t>
      </w:r>
      <w:r>
        <w:rPr>
          <w:rtl/>
        </w:rPr>
        <w:t xml:space="preserve">" איננה תחומה אך לתובענות שהוגשו בטרם ניתן צו כאמור (על כך שמדובר בסמכות שהפעלתה באופן הזה מקובלת, ראו למשל: </w:t>
      </w:r>
      <w:hyperlink r:id="rId19" w:history="1">
        <w:r w:rsidR="009B7241" w:rsidRPr="009B7241">
          <w:rPr>
            <w:color w:val="0000FF"/>
            <w:u w:val="single"/>
            <w:rtl/>
          </w:rPr>
          <w:t>פש"ר (מחוזי י-ם) 173-01</w:t>
        </w:r>
      </w:hyperlink>
      <w:r>
        <w:rPr>
          <w:rtl/>
        </w:rPr>
        <w:t xml:space="preserve"> </w:t>
      </w:r>
      <w:r>
        <w:rPr>
          <w:rFonts w:ascii="Century" w:hAnsi="Century" w:cs="Miriam"/>
          <w:b/>
          <w:spacing w:val="0"/>
          <w:szCs w:val="24"/>
          <w:rtl/>
        </w:rPr>
        <w:t>נעימי נ' כונס הנכסים הרשמי מחוז ירושלים</w:t>
      </w:r>
      <w:r>
        <w:rPr>
          <w:rtl/>
        </w:rPr>
        <w:t xml:space="preserve"> </w:t>
      </w:r>
      <w:r w:rsidR="009B7241" w:rsidRPr="009B7241">
        <w:rPr>
          <w:rFonts w:ascii="Times New Roman" w:hAnsi="Times New Roman" w:cs="David"/>
          <w:spacing w:val="0"/>
          <w:szCs w:val="24"/>
          <w:rtl/>
        </w:rPr>
        <w:t xml:space="preserve">[פורסם בנבו] </w:t>
      </w:r>
      <w:r>
        <w:rPr>
          <w:rtl/>
        </w:rPr>
        <w:t>(14.11.2013);</w:t>
      </w:r>
      <w:r w:rsidRPr="00E93FCE">
        <w:rPr>
          <w:color w:val="808080"/>
          <w:rtl/>
        </w:rPr>
        <w:t xml:space="preserve"> </w:t>
      </w:r>
      <w:hyperlink r:id="rId20" w:history="1">
        <w:r w:rsidR="00E93FCE" w:rsidRPr="00E93FCE">
          <w:rPr>
            <w:color w:val="0000FF"/>
            <w:u w:val="single"/>
            <w:rtl/>
          </w:rPr>
          <w:t>פש"ר (מחוזי ת"א) 42784-07-11</w:t>
        </w:r>
      </w:hyperlink>
      <w:r>
        <w:rPr>
          <w:rtl/>
        </w:rPr>
        <w:t xml:space="preserve"> </w:t>
      </w:r>
      <w:r>
        <w:rPr>
          <w:rFonts w:ascii="Century" w:hAnsi="Century" w:cs="Miriam"/>
          <w:b/>
          <w:spacing w:val="0"/>
          <w:szCs w:val="24"/>
          <w:rtl/>
        </w:rPr>
        <w:t>ורנר נ' בלסי אחזקות ונכסים בע"מ</w:t>
      </w:r>
      <w:r>
        <w:rPr>
          <w:rtl/>
        </w:rPr>
        <w:t xml:space="preserve"> </w:t>
      </w:r>
      <w:r w:rsidR="009B7241" w:rsidRPr="009B7241">
        <w:rPr>
          <w:rFonts w:ascii="Times New Roman" w:hAnsi="Times New Roman" w:cs="David"/>
          <w:spacing w:val="0"/>
          <w:szCs w:val="24"/>
          <w:rtl/>
        </w:rPr>
        <w:t xml:space="preserve">[פורסם בנבו] </w:t>
      </w:r>
      <w:r>
        <w:rPr>
          <w:rtl/>
        </w:rPr>
        <w:t xml:space="preserve">(7.5.2017); </w:t>
      </w:r>
      <w:hyperlink r:id="rId21" w:history="1">
        <w:r w:rsidR="00E93FCE" w:rsidRPr="00E93FCE">
          <w:rPr>
            <w:color w:val="0000FF"/>
            <w:u w:val="single"/>
            <w:rtl/>
          </w:rPr>
          <w:t>פש"ר (מחוזי נצרת) 14363-03-18</w:t>
        </w:r>
      </w:hyperlink>
      <w:r>
        <w:rPr>
          <w:rtl/>
        </w:rPr>
        <w:t xml:space="preserve"> </w:t>
      </w:r>
      <w:r>
        <w:rPr>
          <w:rFonts w:ascii="Century" w:hAnsi="Century" w:cs="Miriam"/>
          <w:b/>
          <w:spacing w:val="0"/>
          <w:szCs w:val="24"/>
          <w:rtl/>
        </w:rPr>
        <w:t>אל כרים נ' כונס הנכסים הרשמי</w:t>
      </w:r>
      <w:r>
        <w:rPr>
          <w:rtl/>
        </w:rPr>
        <w:t xml:space="preserve">, פסקה 73 </w:t>
      </w:r>
      <w:r w:rsidR="009B7241" w:rsidRPr="009B7241">
        <w:rPr>
          <w:rFonts w:ascii="Times New Roman" w:hAnsi="Times New Roman" w:cs="David"/>
          <w:spacing w:val="0"/>
          <w:szCs w:val="24"/>
          <w:rtl/>
        </w:rPr>
        <w:t xml:space="preserve">[פורסם בנבו] </w:t>
      </w:r>
      <w:r>
        <w:rPr>
          <w:rtl/>
        </w:rPr>
        <w:t>(7.7.2022)).</w:t>
      </w:r>
      <w:r w:rsidRPr="00E93FCE">
        <w:rPr>
          <w:color w:val="808080"/>
          <w:rtl/>
        </w:rPr>
        <w:t xml:space="preserve"> </w:t>
      </w:r>
      <w:r>
        <w:rPr>
          <w:rtl/>
        </w:rPr>
        <w:t>אנמק בקצרה.</w:t>
      </w:r>
    </w:p>
    <w:p w14:paraId="44C7327F" w14:textId="77777777" w:rsidR="00C95DBB" w:rsidRDefault="00000000" w:rsidP="00C95DBB">
      <w:pPr>
        <w:pStyle w:val="Ruller40"/>
        <w:ind w:firstLine="799"/>
        <w:rPr>
          <w:rtl/>
        </w:rPr>
      </w:pPr>
      <w:r>
        <w:rPr>
          <w:rtl/>
        </w:rPr>
        <w:t xml:space="preserve"> </w:t>
      </w:r>
    </w:p>
    <w:p w14:paraId="28E91844" w14:textId="77777777" w:rsidR="00C95DBB" w:rsidRDefault="00000000" w:rsidP="00C95DBB">
      <w:pPr>
        <w:pStyle w:val="Ruller4"/>
        <w:rPr>
          <w:rtl/>
        </w:rPr>
      </w:pPr>
      <w:r>
        <w:rPr>
          <w:rtl/>
        </w:rPr>
        <w:lastRenderedPageBreak/>
        <w:t>במישור הלשון, הרי שיש לקרוא את הסעיף כך שהסמכות אותה הוא מקנה, וכחלק מכך הפרט שעניינו "</w:t>
      </w:r>
      <w:r>
        <w:rPr>
          <w:rFonts w:cs="Miriam"/>
          <w:b/>
          <w:spacing w:val="0"/>
          <w:szCs w:val="24"/>
          <w:rtl/>
        </w:rPr>
        <w:t>כל תובענה התלויה ועומדת</w:t>
      </w:r>
      <w:r>
        <w:rPr>
          <w:rtl/>
        </w:rPr>
        <w:t>", אינם צמודים בזמן לרישא של הסעיף ("</w:t>
      </w:r>
      <w:r>
        <w:rPr>
          <w:rFonts w:cs="Miriam"/>
          <w:b/>
          <w:spacing w:val="0"/>
          <w:szCs w:val="24"/>
          <w:rtl/>
        </w:rPr>
        <w:t>ניתן בבית משפט מחוזי צו כינוס...</w:t>
      </w:r>
      <w:r>
        <w:rPr>
          <w:rtl/>
        </w:rPr>
        <w:t>"), כלומר שהסעיף אינו נסוב על נקודת זמן אחת. קריאה כזו תורה כי התנאי שעניינו "</w:t>
      </w:r>
      <w:r>
        <w:rPr>
          <w:rFonts w:cs="Miriam"/>
          <w:b/>
          <w:spacing w:val="0"/>
          <w:szCs w:val="24"/>
          <w:rtl/>
        </w:rPr>
        <w:t>ניתן בבית משפט מחוזי צו כינוס...</w:t>
      </w:r>
      <w:r>
        <w:rPr>
          <w:rtl/>
        </w:rPr>
        <w:t xml:space="preserve">" ניצב מבחינה כרונולוגית בראשית "ציר הזמן", ולאחריו על ציר זה מוקנית הסמכות להעברת דיון בכל תובענה שהינה תלויה ועומדת </w:t>
      </w:r>
      <w:r>
        <w:rPr>
          <w:rFonts w:cs="Miriam"/>
          <w:b/>
          <w:spacing w:val="0"/>
          <w:szCs w:val="24"/>
          <w:rtl/>
        </w:rPr>
        <w:t>בנקודת הזמן של הפעלת הסמכות</w:t>
      </w:r>
      <w:r>
        <w:rPr>
          <w:rtl/>
        </w:rPr>
        <w:t xml:space="preserve"> כאמור. במילים פשוטות, </w:t>
      </w:r>
      <w:hyperlink r:id="rId22" w:history="1">
        <w:r w:rsidR="009A7C4C" w:rsidRPr="009A7C4C">
          <w:rPr>
            <w:rStyle w:val="Hyperlink"/>
            <w:rFonts w:hint="eastAsia"/>
            <w:rtl/>
          </w:rPr>
          <w:t>סעיף</w:t>
        </w:r>
        <w:r w:rsidR="009A7C4C" w:rsidRPr="009A7C4C">
          <w:rPr>
            <w:rStyle w:val="Hyperlink"/>
            <w:rtl/>
          </w:rPr>
          <w:t xml:space="preserve"> 178(</w:t>
        </w:r>
        <w:r w:rsidR="009A7C4C" w:rsidRPr="009A7C4C">
          <w:rPr>
            <w:rStyle w:val="Hyperlink"/>
            <w:rFonts w:hint="eastAsia"/>
            <w:rtl/>
          </w:rPr>
          <w:t>ג</w:t>
        </w:r>
        <w:r w:rsidR="009A7C4C" w:rsidRPr="009A7C4C">
          <w:rPr>
            <w:rStyle w:val="Hyperlink"/>
            <w:rtl/>
          </w:rPr>
          <w:t>)</w:t>
        </w:r>
      </w:hyperlink>
      <w:r>
        <w:rPr>
          <w:rtl/>
        </w:rPr>
        <w:t xml:space="preserve"> לפקודה קובע כי מהרגע שניתן צו כינוס, בית המשפט של פשיטת רגל מוסמך להעביר אליו כל תובענה תלויה ועומדת – בין אם היא הוגשה לפני מועד מתן צו הכינוס ובין אם לאחריו.</w:t>
      </w:r>
    </w:p>
    <w:p w14:paraId="1154B249" w14:textId="77777777" w:rsidR="00C95DBB" w:rsidRDefault="00C95DBB" w:rsidP="00C95DBB">
      <w:pPr>
        <w:pStyle w:val="Ruller40"/>
        <w:rPr>
          <w:rtl/>
        </w:rPr>
      </w:pPr>
    </w:p>
    <w:p w14:paraId="79485C3A" w14:textId="77777777" w:rsidR="00C95DBB" w:rsidRDefault="00000000" w:rsidP="00C95DBB">
      <w:pPr>
        <w:pStyle w:val="Ruller4"/>
        <w:rPr>
          <w:rtl/>
        </w:rPr>
      </w:pPr>
      <w:r>
        <w:rPr>
          <w:rtl/>
        </w:rPr>
        <w:t xml:space="preserve">המסקנה האמורה מתבקשת לנוכח תכליותיו של הסעיף, ושל ההסדר הרחב יותר שבתוכו הוא משובץ. את </w:t>
      </w:r>
      <w:hyperlink r:id="rId23" w:history="1">
        <w:r w:rsidR="009A7C4C" w:rsidRPr="009A7C4C">
          <w:rPr>
            <w:rStyle w:val="Hyperlink"/>
            <w:rFonts w:hint="eastAsia"/>
            <w:rtl/>
          </w:rPr>
          <w:t>סעיף</w:t>
        </w:r>
        <w:r w:rsidR="009A7C4C" w:rsidRPr="009A7C4C">
          <w:rPr>
            <w:rStyle w:val="Hyperlink"/>
            <w:rtl/>
          </w:rPr>
          <w:t xml:space="preserve"> 178(</w:t>
        </w:r>
        <w:r w:rsidR="009A7C4C" w:rsidRPr="009A7C4C">
          <w:rPr>
            <w:rStyle w:val="Hyperlink"/>
            <w:rFonts w:hint="eastAsia"/>
            <w:rtl/>
          </w:rPr>
          <w:t>ג</w:t>
        </w:r>
        <w:r w:rsidR="009A7C4C" w:rsidRPr="009A7C4C">
          <w:rPr>
            <w:rStyle w:val="Hyperlink"/>
            <w:rtl/>
          </w:rPr>
          <w:t>)</w:t>
        </w:r>
      </w:hyperlink>
      <w:r>
        <w:rPr>
          <w:rtl/>
        </w:rPr>
        <w:t xml:space="preserve"> לפקודה יש לקרוא כחלק מהוראות הפקודה שמקנות לבית משפט של פשיטת רגל סמכויות החורגות מגבולות הליך הפש"ר שלפניו. בעיקר, יש לקוראו לצד </w:t>
      </w:r>
      <w:hyperlink r:id="rId24" w:history="1">
        <w:r w:rsidR="009A7C4C" w:rsidRPr="009A7C4C">
          <w:rPr>
            <w:rStyle w:val="Hyperlink"/>
            <w:rFonts w:hint="eastAsia"/>
            <w:rtl/>
          </w:rPr>
          <w:t>סעיף</w:t>
        </w:r>
        <w:r w:rsidR="009A7C4C" w:rsidRPr="009A7C4C">
          <w:rPr>
            <w:rStyle w:val="Hyperlink"/>
            <w:rtl/>
          </w:rPr>
          <w:t xml:space="preserve"> 22(</w:t>
        </w:r>
        <w:r w:rsidR="009A7C4C" w:rsidRPr="009A7C4C">
          <w:rPr>
            <w:rStyle w:val="Hyperlink"/>
            <w:rFonts w:hint="eastAsia"/>
            <w:rtl/>
          </w:rPr>
          <w:t>א</w:t>
        </w:r>
        <w:r w:rsidR="009A7C4C" w:rsidRPr="009A7C4C">
          <w:rPr>
            <w:rStyle w:val="Hyperlink"/>
            <w:rtl/>
          </w:rPr>
          <w:t>)</w:t>
        </w:r>
      </w:hyperlink>
      <w:r>
        <w:rPr>
          <w:rtl/>
        </w:rPr>
        <w:t xml:space="preserve"> לפקודה, לפיו משהוגשה בקשה לפשיטת רגל, בית המשפט של פשיטת הרגל רשאי "</w:t>
      </w:r>
      <w:r>
        <w:rPr>
          <w:rFonts w:ascii="Century" w:hAnsi="Century" w:cs="Miriam"/>
          <w:b/>
          <w:spacing w:val="0"/>
          <w:szCs w:val="24"/>
          <w:rtl/>
        </w:rPr>
        <w:t>לעכב כל תובענה, הוצאה לפועל ואמצעי אחר על פי דין נגד החייב</w:t>
      </w:r>
      <w:r>
        <w:rPr>
          <w:rtl/>
        </w:rPr>
        <w:t xml:space="preserve">" (על הקשר הקרוב בין הסמכות שעניינה "העברת תובענות" לבין הסמכות שעניינה "עיכוב הליכים", ראו למשל </w:t>
      </w:r>
      <w:hyperlink r:id="rId25"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630/19</w:t>
        </w:r>
      </w:hyperlink>
      <w:r>
        <w:rPr>
          <w:rtl/>
        </w:rPr>
        <w:t xml:space="preserve"> </w:t>
      </w:r>
      <w:r>
        <w:rPr>
          <w:rFonts w:cs="Miriam"/>
          <w:b/>
          <w:spacing w:val="0"/>
          <w:szCs w:val="24"/>
          <w:rtl/>
        </w:rPr>
        <w:t>עו"ד עופר שפירא רז מנגל – מנהלי העזבון נ' אגף מס הכנסה – פקיד שומה תל אביב 3</w:t>
      </w:r>
      <w:r>
        <w:rPr>
          <w:rtl/>
        </w:rPr>
        <w:t xml:space="preserve">, פסקה 15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(29.8.2019) (להלן: </w:t>
      </w:r>
      <w:r>
        <w:rPr>
          <w:rFonts w:cs="Miriam"/>
          <w:b/>
          <w:spacing w:val="0"/>
          <w:szCs w:val="24"/>
          <w:rtl/>
        </w:rPr>
        <w:t>עניין מנגל</w:t>
      </w:r>
      <w:r>
        <w:rPr>
          <w:rtl/>
        </w:rPr>
        <w:t xml:space="preserve">); </w:t>
      </w:r>
      <w:hyperlink r:id="rId26" w:history="1">
        <w:r w:rsidR="00E93FCE" w:rsidRPr="00E93FCE">
          <w:rPr>
            <w:rFonts w:ascii="Century" w:hAnsi="Century" w:hint="eastAsia"/>
            <w:color w:val="0000FF"/>
            <w:u w:val="single"/>
            <w:rtl/>
          </w:rPr>
          <w:t>רע</w:t>
        </w:r>
        <w:r w:rsidR="00E93FCE" w:rsidRPr="00E93FCE">
          <w:rPr>
            <w:rFonts w:ascii="Century" w:hAnsi="Century"/>
            <w:color w:val="0000FF"/>
            <w:u w:val="single"/>
            <w:rtl/>
          </w:rPr>
          <w:t>"</w:t>
        </w:r>
        <w:r w:rsidR="00E93FCE" w:rsidRPr="00E93FCE">
          <w:rPr>
            <w:rFonts w:ascii="Century" w:hAnsi="Century" w:hint="eastAsia"/>
            <w:color w:val="0000FF"/>
            <w:u w:val="single"/>
            <w:rtl/>
          </w:rPr>
          <w:t>א</w:t>
        </w:r>
        <w:r w:rsidR="00E93FCE" w:rsidRPr="00E93FCE">
          <w:rPr>
            <w:rFonts w:ascii="Century" w:hAnsi="Century"/>
            <w:color w:val="0000FF"/>
            <w:u w:val="single"/>
            <w:rtl/>
          </w:rPr>
          <w:t xml:space="preserve"> 2324/22</w:t>
        </w:r>
      </w:hyperlink>
      <w:r>
        <w:rPr>
          <w:rFonts w:ascii="Century" w:hAnsi="Century"/>
          <w:rtl/>
        </w:rPr>
        <w:t xml:space="preserve"> </w:t>
      </w:r>
      <w:r>
        <w:rPr>
          <w:rFonts w:ascii="Century" w:hAnsi="Century" w:cs="Miriam"/>
          <w:b/>
          <w:spacing w:val="0"/>
          <w:szCs w:val="24"/>
          <w:rtl/>
        </w:rPr>
        <w:t>פנחס פיגומים 88 בע"מ נ' עו"ד פדר אופיר, המנהל המיוחד לחייב דוד ברניקר</w:t>
      </w:r>
      <w:r>
        <w:rPr>
          <w:rFonts w:ascii="Century" w:hAnsi="Century"/>
          <w:rtl/>
        </w:rPr>
        <w:t xml:space="preserve">, פסקה 34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Fonts w:ascii="Century" w:hAnsi="Century"/>
          <w:rtl/>
        </w:rPr>
        <w:t xml:space="preserve">(14.11.2022) (להלן: </w:t>
      </w:r>
      <w:r>
        <w:rPr>
          <w:rFonts w:ascii="Century" w:hAnsi="Century" w:cs="Miriam"/>
          <w:b/>
          <w:spacing w:val="0"/>
          <w:sz w:val="22"/>
          <w:szCs w:val="24"/>
          <w:rtl/>
        </w:rPr>
        <w:t>עניין פנחס פיגומים</w:t>
      </w:r>
      <w:r>
        <w:rPr>
          <w:rFonts w:ascii="Century" w:hAnsi="Century"/>
          <w:rtl/>
        </w:rPr>
        <w:t>)</w:t>
      </w:r>
      <w:r>
        <w:rPr>
          <w:rtl/>
        </w:rPr>
        <w:t>; כן ראו דברי ההסבר להצעת חוק חדלות פירעון ושיקום כלכלי, התשע"ו-2016, ה"ח 604, 738, ביחס לקביעת סמכויות אלו ב</w:t>
      </w:r>
      <w:hyperlink r:id="rId27" w:history="1">
        <w:r w:rsidR="00E93FCE" w:rsidRPr="00E93FCE">
          <w:rPr>
            <w:rFonts w:hint="eastAsia"/>
            <w:color w:val="0000FF"/>
            <w:u w:val="single"/>
            <w:rtl/>
          </w:rPr>
          <w:t>חוק</w:t>
        </w:r>
        <w:r w:rsidR="00E93FCE" w:rsidRPr="00E93FCE">
          <w:rPr>
            <w:color w:val="0000FF"/>
            <w:u w:val="single"/>
            <w:rtl/>
          </w:rPr>
          <w:t xml:space="preserve"> </w:t>
        </w:r>
        <w:r w:rsidR="00E93FCE" w:rsidRPr="00E93FCE">
          <w:rPr>
            <w:rFonts w:hint="eastAsia"/>
            <w:color w:val="0000FF"/>
            <w:u w:val="single"/>
            <w:rtl/>
          </w:rPr>
          <w:t>חדלות</w:t>
        </w:r>
        <w:r w:rsidR="00E93FCE" w:rsidRPr="00E93FCE">
          <w:rPr>
            <w:color w:val="0000FF"/>
            <w:u w:val="single"/>
            <w:rtl/>
          </w:rPr>
          <w:t xml:space="preserve"> </w:t>
        </w:r>
        <w:r w:rsidR="00E93FCE" w:rsidRPr="00E93FCE">
          <w:rPr>
            <w:rFonts w:hint="eastAsia"/>
            <w:color w:val="0000FF"/>
            <w:u w:val="single"/>
            <w:rtl/>
          </w:rPr>
          <w:t>פירעון</w:t>
        </w:r>
        <w:r w:rsidR="00E93FCE" w:rsidRPr="00E93FCE">
          <w:rPr>
            <w:color w:val="0000FF"/>
            <w:u w:val="single"/>
            <w:rtl/>
          </w:rPr>
          <w:t xml:space="preserve"> </w:t>
        </w:r>
        <w:r w:rsidR="00E93FCE" w:rsidRPr="00E93FCE">
          <w:rPr>
            <w:rFonts w:hint="eastAsia"/>
            <w:color w:val="0000FF"/>
            <w:u w:val="single"/>
            <w:rtl/>
          </w:rPr>
          <w:t>ושיקום</w:t>
        </w:r>
        <w:r w:rsidR="00E93FCE" w:rsidRPr="00E93FCE">
          <w:rPr>
            <w:color w:val="0000FF"/>
            <w:u w:val="single"/>
            <w:rtl/>
          </w:rPr>
          <w:t xml:space="preserve"> </w:t>
        </w:r>
        <w:r w:rsidR="00E93FCE" w:rsidRPr="00E93FCE">
          <w:rPr>
            <w:rFonts w:hint="eastAsia"/>
            <w:color w:val="0000FF"/>
            <w:u w:val="single"/>
            <w:rtl/>
          </w:rPr>
          <w:t>כלכלי</w:t>
        </w:r>
        <w:r w:rsidR="00E93FCE" w:rsidRPr="00E93FCE">
          <w:rPr>
            <w:color w:val="0000FF"/>
            <w:u w:val="single"/>
            <w:rtl/>
          </w:rPr>
          <w:t xml:space="preserve">, </w:t>
        </w:r>
        <w:r w:rsidR="00E93FCE" w:rsidRPr="00E93FCE">
          <w:rPr>
            <w:rFonts w:hint="eastAsia"/>
            <w:color w:val="0000FF"/>
            <w:u w:val="single"/>
            <w:rtl/>
          </w:rPr>
          <w:t>התשע</w:t>
        </w:r>
        <w:r w:rsidR="00E93FCE" w:rsidRPr="00E93FCE">
          <w:rPr>
            <w:color w:val="0000FF"/>
            <w:u w:val="single"/>
            <w:rtl/>
          </w:rPr>
          <w:t>"</w:t>
        </w:r>
        <w:r w:rsidR="00E93FCE" w:rsidRPr="00E93FCE">
          <w:rPr>
            <w:rFonts w:hint="eastAsia"/>
            <w:color w:val="0000FF"/>
            <w:u w:val="single"/>
            <w:rtl/>
          </w:rPr>
          <w:t>ח</w:t>
        </w:r>
        <w:r w:rsidR="00E93FCE" w:rsidRPr="00E93FCE">
          <w:rPr>
            <w:color w:val="0000FF"/>
            <w:u w:val="single"/>
            <w:rtl/>
          </w:rPr>
          <w:t>-2018</w:t>
        </w:r>
      </w:hyperlink>
      <w:r>
        <w:rPr>
          <w:rtl/>
        </w:rPr>
        <w:t xml:space="preserve">). כפי שנקבע לא אחת, פרישת כנפיו של בית משפט של פשיטת רגל על הליכים אחרים הנוגעים לעניינו של החייב, למשל בהתאם </w:t>
      </w:r>
      <w:hyperlink r:id="rId28" w:history="1">
        <w:r w:rsidR="009A7C4C" w:rsidRPr="009A7C4C">
          <w:rPr>
            <w:rStyle w:val="Hyperlink"/>
            <w:rFonts w:hint="eastAsia"/>
            <w:rtl/>
          </w:rPr>
          <w:t>לסעיפים</w:t>
        </w:r>
        <w:r w:rsidR="009A7C4C" w:rsidRPr="009A7C4C">
          <w:rPr>
            <w:rStyle w:val="Hyperlink"/>
            <w:rtl/>
          </w:rPr>
          <w:t xml:space="preserve"> 178(</w:t>
        </w:r>
        <w:r w:rsidR="009A7C4C" w:rsidRPr="009A7C4C">
          <w:rPr>
            <w:rStyle w:val="Hyperlink"/>
            <w:rFonts w:hint="eastAsia"/>
            <w:rtl/>
          </w:rPr>
          <w:t>ג</w:t>
        </w:r>
        <w:r w:rsidR="009A7C4C" w:rsidRPr="009A7C4C">
          <w:rPr>
            <w:rStyle w:val="Hyperlink"/>
            <w:rtl/>
          </w:rPr>
          <w:t>)</w:t>
        </w:r>
      </w:hyperlink>
      <w:r>
        <w:rPr>
          <w:rtl/>
        </w:rPr>
        <w:t xml:space="preserve"> ו-</w:t>
      </w:r>
      <w:hyperlink r:id="rId29" w:history="1">
        <w:r w:rsidR="009A7C4C" w:rsidRPr="009A7C4C">
          <w:rPr>
            <w:rStyle w:val="Hyperlink"/>
            <w:rtl/>
          </w:rPr>
          <w:t>22(</w:t>
        </w:r>
        <w:r w:rsidR="009A7C4C" w:rsidRPr="009A7C4C">
          <w:rPr>
            <w:rStyle w:val="Hyperlink"/>
            <w:rFonts w:hint="eastAsia"/>
            <w:rtl/>
          </w:rPr>
          <w:t>א</w:t>
        </w:r>
        <w:r w:rsidR="009A7C4C" w:rsidRPr="009A7C4C">
          <w:rPr>
            <w:rStyle w:val="Hyperlink"/>
            <w:rtl/>
          </w:rPr>
          <w:t>)</w:t>
        </w:r>
      </w:hyperlink>
      <w:r>
        <w:rPr>
          <w:rtl/>
        </w:rPr>
        <w:t xml:space="preserve"> לפקודה, נועדה לרכז את בירור התביעות נגד מסת נכסי החייב לכדי הליך אחד, מהיר ויעיל; למנוע פגיעה בשוויון בין הנושים; ולחסוך בזמן שיפוטי (ראו והשוו: </w:t>
      </w:r>
      <w:hyperlink r:id="rId30"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5976/14</w:t>
        </w:r>
      </w:hyperlink>
      <w:r>
        <w:rPr>
          <w:rtl/>
        </w:rPr>
        <w:t xml:space="preserve"> </w:t>
      </w:r>
      <w:r>
        <w:rPr>
          <w:rFonts w:ascii="Century" w:hAnsi="Century" w:cs="Miriam"/>
          <w:b/>
          <w:spacing w:val="0"/>
          <w:szCs w:val="24"/>
          <w:rtl/>
        </w:rPr>
        <w:t>ביטקובר נ' כונס הנכסים הרשמי</w:t>
      </w:r>
      <w:r>
        <w:rPr>
          <w:rtl/>
        </w:rPr>
        <w:t xml:space="preserve">, פסקה 2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(16.12.2014); </w:t>
      </w:r>
      <w:hyperlink r:id="rId31"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7205/18</w:t>
        </w:r>
      </w:hyperlink>
      <w:r>
        <w:rPr>
          <w:rtl/>
        </w:rPr>
        <w:t xml:space="preserve"> </w:t>
      </w:r>
      <w:r>
        <w:rPr>
          <w:rFonts w:cs="Miriam"/>
          <w:b/>
          <w:spacing w:val="0"/>
          <w:szCs w:val="24"/>
          <w:rtl/>
        </w:rPr>
        <w:t>מנורה מבטחים ביטוח בע"מ נ' אסולין</w:t>
      </w:r>
      <w:r>
        <w:rPr>
          <w:rtl/>
        </w:rPr>
        <w:t xml:space="preserve">, פסקה 12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(2.1.2019); עניין </w:t>
      </w:r>
      <w:r>
        <w:rPr>
          <w:rFonts w:ascii="Century" w:hAnsi="Century" w:cs="Miriam"/>
          <w:b/>
          <w:spacing w:val="0"/>
          <w:sz w:val="22"/>
          <w:szCs w:val="24"/>
          <w:rtl/>
        </w:rPr>
        <w:t>מנגל</w:t>
      </w:r>
      <w:r>
        <w:rPr>
          <w:rFonts w:ascii="Century" w:hAnsi="Century"/>
          <w:sz w:val="22"/>
          <w:rtl/>
        </w:rPr>
        <w:t>, בפסקה 17</w:t>
      </w:r>
      <w:r>
        <w:rPr>
          <w:rtl/>
        </w:rPr>
        <w:t xml:space="preserve">; </w:t>
      </w:r>
      <w:r>
        <w:rPr>
          <w:rFonts w:ascii="Century" w:hAnsi="Century"/>
          <w:rtl/>
        </w:rPr>
        <w:t xml:space="preserve">עניין </w:t>
      </w:r>
      <w:r>
        <w:rPr>
          <w:rFonts w:ascii="Century" w:hAnsi="Century" w:cs="Miriam"/>
          <w:b/>
          <w:spacing w:val="0"/>
          <w:sz w:val="22"/>
          <w:szCs w:val="24"/>
          <w:rtl/>
        </w:rPr>
        <w:t>פנחס פיגומים</w:t>
      </w:r>
      <w:r>
        <w:rPr>
          <w:rFonts w:ascii="Century" w:hAnsi="Century"/>
          <w:rtl/>
        </w:rPr>
        <w:t xml:space="preserve">, בפסקה 34; </w:t>
      </w:r>
      <w:r>
        <w:rPr>
          <w:rtl/>
        </w:rPr>
        <w:t xml:space="preserve">שלמה לוין ואשר גרוניס </w:t>
      </w:r>
      <w:hyperlink r:id="rId32" w:history="1">
        <w:r w:rsidR="00E93FCE" w:rsidRPr="00E93FCE">
          <w:rPr>
            <w:rFonts w:cs="Miriam" w:hint="eastAsia"/>
            <w:b/>
            <w:color w:val="0000FF"/>
            <w:spacing w:val="0"/>
            <w:szCs w:val="24"/>
            <w:u w:val="single"/>
            <w:rtl/>
          </w:rPr>
          <w:t>פשיטת</w:t>
        </w:r>
        <w:r w:rsidR="00E93FCE" w:rsidRPr="00E93FCE">
          <w:rPr>
            <w:rFonts w:cs="Miriam"/>
            <w:b/>
            <w:color w:val="0000FF"/>
            <w:spacing w:val="0"/>
            <w:szCs w:val="24"/>
            <w:u w:val="single"/>
            <w:rtl/>
          </w:rPr>
          <w:t xml:space="preserve"> </w:t>
        </w:r>
        <w:r w:rsidR="00E93FCE" w:rsidRPr="00E93FCE">
          <w:rPr>
            <w:rFonts w:cs="Miriam" w:hint="eastAsia"/>
            <w:b/>
            <w:color w:val="0000FF"/>
            <w:spacing w:val="0"/>
            <w:szCs w:val="24"/>
            <w:u w:val="single"/>
            <w:rtl/>
          </w:rPr>
          <w:t>רגל</w:t>
        </w:r>
        <w:r w:rsidR="00E93FCE" w:rsidRPr="00E93FCE">
          <w:rPr>
            <w:rFonts w:cs="Miriam"/>
            <w:b/>
            <w:color w:val="0000FF"/>
            <w:spacing w:val="0"/>
            <w:szCs w:val="24"/>
            <w:u w:val="single"/>
            <w:rtl/>
          </w:rPr>
          <w:t xml:space="preserve"> 119-11</w:t>
        </w:r>
      </w:hyperlink>
      <w:r>
        <w:rPr>
          <w:rtl/>
        </w:rPr>
        <w:t xml:space="preserve">8 (מהדורה שלישית 2010)). על רקע זה, נקל לראות כי הפרשנות לפיה הוראות </w:t>
      </w:r>
      <w:hyperlink r:id="rId33" w:history="1">
        <w:r w:rsidR="009A7C4C" w:rsidRPr="009A7C4C">
          <w:rPr>
            <w:rStyle w:val="Hyperlink"/>
            <w:rFonts w:hint="eastAsia"/>
            <w:rtl/>
          </w:rPr>
          <w:t>סעיף</w:t>
        </w:r>
        <w:r w:rsidR="009A7C4C" w:rsidRPr="009A7C4C">
          <w:rPr>
            <w:rStyle w:val="Hyperlink"/>
            <w:rtl/>
          </w:rPr>
          <w:t xml:space="preserve"> 178(</w:t>
        </w:r>
        <w:r w:rsidR="009A7C4C" w:rsidRPr="009A7C4C">
          <w:rPr>
            <w:rStyle w:val="Hyperlink"/>
            <w:rFonts w:hint="eastAsia"/>
            <w:rtl/>
          </w:rPr>
          <w:t>ג</w:t>
        </w:r>
        <w:r w:rsidR="009A7C4C" w:rsidRPr="009A7C4C">
          <w:rPr>
            <w:rStyle w:val="Hyperlink"/>
            <w:rtl/>
          </w:rPr>
          <w:t>)</w:t>
        </w:r>
      </w:hyperlink>
      <w:r>
        <w:rPr>
          <w:rtl/>
        </w:rPr>
        <w:t xml:space="preserve"> לפקודה מסמיכות את בית המשפט </w:t>
      </w:r>
      <w:r>
        <w:rPr>
          <w:rtl/>
        </w:rPr>
        <w:lastRenderedPageBreak/>
        <w:t xml:space="preserve">להעביר אליו גם תובענות שהוגשו לאחר שניתן צו הכינוס, היא זו שמגשימה את תכליותיו באופן המיטבי. </w:t>
      </w:r>
    </w:p>
    <w:p w14:paraId="680728BC" w14:textId="77777777" w:rsidR="00C95DBB" w:rsidRDefault="00C95DBB" w:rsidP="00C95DBB">
      <w:pPr>
        <w:pStyle w:val="Ruller40"/>
        <w:rPr>
          <w:rtl/>
        </w:rPr>
      </w:pPr>
    </w:p>
    <w:p w14:paraId="75B2A450" w14:textId="77777777" w:rsidR="00C95DBB" w:rsidRDefault="00000000" w:rsidP="00C95DBB">
      <w:pPr>
        <w:pStyle w:val="Ruller4"/>
        <w:rPr>
          <w:rtl/>
        </w:rPr>
      </w:pPr>
      <w:r>
        <w:rPr>
          <w:rtl/>
        </w:rPr>
        <w:t xml:space="preserve">מכל האמור עולה, איפוא, כי הפרשנות בה נקט בית המשפט קמא </w:t>
      </w:r>
      <w:hyperlink r:id="rId34" w:history="1">
        <w:r w:rsidR="009A7C4C" w:rsidRPr="009A7C4C">
          <w:rPr>
            <w:rStyle w:val="Hyperlink"/>
            <w:rFonts w:hint="eastAsia"/>
            <w:rtl/>
          </w:rPr>
          <w:t>לסעיף</w:t>
        </w:r>
        <w:r w:rsidR="009A7C4C" w:rsidRPr="009A7C4C">
          <w:rPr>
            <w:rStyle w:val="Hyperlink"/>
            <w:rtl/>
          </w:rPr>
          <w:t xml:space="preserve"> 178(</w:t>
        </w:r>
        <w:r w:rsidR="009A7C4C" w:rsidRPr="009A7C4C">
          <w:rPr>
            <w:rStyle w:val="Hyperlink"/>
            <w:rFonts w:hint="eastAsia"/>
            <w:rtl/>
          </w:rPr>
          <w:t>ג</w:t>
        </w:r>
        <w:r w:rsidR="009A7C4C" w:rsidRPr="009A7C4C">
          <w:rPr>
            <w:rStyle w:val="Hyperlink"/>
            <w:rtl/>
          </w:rPr>
          <w:t>)</w:t>
        </w:r>
      </w:hyperlink>
      <w:r>
        <w:rPr>
          <w:rtl/>
        </w:rPr>
        <w:t xml:space="preserve"> לפקודה, היא פרשנות נכונה. משכך, ובהינתן שיקול הדעת הרחב המוקנה לבית המשפט לפשיטת רגל בהחלטות בדבר אופן ניהול ההליך, אין מקום להתערב בהחלטתו לקבל את הבקשה ל"משוך" אליו את הדיון בטענות המבקש ביחס לזכויותיו בנכס (ראו: </w:t>
      </w:r>
      <w:hyperlink r:id="rId35"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3499/19</w:t>
        </w:r>
      </w:hyperlink>
      <w:r>
        <w:rPr>
          <w:rtl/>
        </w:rPr>
        <w:t xml:space="preserve"> </w:t>
      </w:r>
      <w:r>
        <w:rPr>
          <w:rFonts w:ascii="Century" w:hAnsi="Century" w:cs="Miriam"/>
          <w:b/>
          <w:spacing w:val="0"/>
          <w:sz w:val="22"/>
          <w:szCs w:val="24"/>
          <w:rtl/>
        </w:rPr>
        <w:t>בן ארי נ' רון כהנא, בתפקידו כמנהל מיוחד על נכסי החייב</w:t>
      </w:r>
      <w:r>
        <w:rPr>
          <w:rtl/>
        </w:rPr>
        <w:t xml:space="preserve">, פסקה 4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(23.5.201). השוו גם: </w:t>
      </w:r>
      <w:hyperlink r:id="rId36"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6584/21</w:t>
        </w:r>
      </w:hyperlink>
      <w:r>
        <w:rPr>
          <w:rtl/>
        </w:rPr>
        <w:t xml:space="preserve"> </w:t>
      </w:r>
      <w:r>
        <w:rPr>
          <w:rFonts w:cs="Miriam"/>
          <w:b/>
          <w:spacing w:val="0"/>
          <w:szCs w:val="24"/>
          <w:rtl/>
        </w:rPr>
        <w:t>הנדל נ' קול</w:t>
      </w:r>
      <w:r>
        <w:rPr>
          <w:rtl/>
        </w:rPr>
        <w:t xml:space="preserve">, פסקה 17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(12.12.2021) (להלן: </w:t>
      </w:r>
      <w:r>
        <w:rPr>
          <w:rFonts w:ascii="Century" w:hAnsi="Century" w:cs="Miriam"/>
          <w:b/>
          <w:spacing w:val="0"/>
          <w:sz w:val="22"/>
          <w:szCs w:val="24"/>
          <w:rtl/>
        </w:rPr>
        <w:t>עניין הנדל</w:t>
      </w:r>
      <w:r>
        <w:rPr>
          <w:rFonts w:ascii="Century" w:hAnsi="Century"/>
          <w:sz w:val="22"/>
          <w:rtl/>
        </w:rPr>
        <w:t>)</w:t>
      </w:r>
      <w:r>
        <w:rPr>
          <w:rtl/>
        </w:rPr>
        <w:t xml:space="preserve">; </w:t>
      </w:r>
      <w:hyperlink r:id="rId37"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3231/22</w:t>
        </w:r>
      </w:hyperlink>
      <w:r>
        <w:rPr>
          <w:rtl/>
        </w:rPr>
        <w:t xml:space="preserve"> </w:t>
      </w:r>
      <w:r>
        <w:rPr>
          <w:rFonts w:cs="Miriam"/>
          <w:b/>
          <w:spacing w:val="0"/>
          <w:szCs w:val="24"/>
          <w:rtl/>
        </w:rPr>
        <w:t>זילברשטרום נ' עו"ד אורי בראון – המנהל המיוחד לעמותת תלמוד תורה (בפירוק)</w:t>
      </w:r>
      <w:r>
        <w:rPr>
          <w:rtl/>
        </w:rPr>
        <w:t>, פסקה 10</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 (17.7.2022)). </w:t>
      </w:r>
    </w:p>
    <w:p w14:paraId="6156801B" w14:textId="77777777" w:rsidR="00C95DBB" w:rsidRDefault="00C95DBB" w:rsidP="00C95DBB">
      <w:pPr>
        <w:pStyle w:val="Ruller40"/>
        <w:ind w:firstLine="799"/>
        <w:rPr>
          <w:rtl/>
        </w:rPr>
      </w:pPr>
    </w:p>
    <w:p w14:paraId="4E7D6D24" w14:textId="77777777" w:rsidR="00C95DBB" w:rsidRDefault="00000000" w:rsidP="00C95DBB">
      <w:pPr>
        <w:pStyle w:val="Ruller4"/>
        <w:rPr>
          <w:rtl/>
        </w:rPr>
      </w:pPr>
      <w:r>
        <w:rPr>
          <w:rFonts w:ascii="Century" w:hAnsi="Century" w:cs="Miriam"/>
          <w:b/>
          <w:spacing w:val="0"/>
          <w:sz w:val="22"/>
          <w:szCs w:val="24"/>
          <w:rtl/>
        </w:rPr>
        <w:t>שנית</w:t>
      </w:r>
      <w:r>
        <w:rPr>
          <w:rtl/>
        </w:rPr>
        <w:t>, אף דחיית הבקשה לביטול הפסיקתה לא מגלה פגם המצדיק התערבות ערכאת הערעור. כפי שצוין בהחלטת בית המשפט קמא, הפסיקתה נקטה בלשון ברורה ומפורטת תוך התייחסות לשתי הקומות ולשתי יחידות הדיור המצויות בנכס, ותוך אזכור מפורש של פינוי בני משפחת החייב, ככל שאלו מצויים בנכס ("</w:t>
      </w:r>
      <w:r>
        <w:rPr>
          <w:rFonts w:ascii="Century" w:hAnsi="Century" w:cs="Miriam"/>
          <w:b/>
          <w:spacing w:val="0"/>
          <w:sz w:val="22"/>
          <w:szCs w:val="24"/>
          <w:rtl/>
        </w:rPr>
        <w:t>פינוי הנכס בן 2 הקומות (קרקע וראשונה, שבכל אחת מהן יחידת דיור) של החייב... מכל אדם וחפץ, לרבות החייב... ו/או מי מבני משפחתו</w:t>
      </w:r>
      <w:r>
        <w:rPr>
          <w:rtl/>
        </w:rPr>
        <w:t xml:space="preserve">"). אין ספק איפוא כי פינויו של המבקש ומשפחתו נעשה בהתאם לפסיקתה, אשר נחתמה כאמור על ידי בית המשפט קמא ביום 11.10.2023, ומשכך נעשה כדין, בניגוד לטענות המבקש בבקשת רשות הערעור. למבקש, כך הסתבר לא מזמן, השגות על עצם תוקפם של צו הפינוי והפסיקתה. ואולם, הוא נמנע מלפנות לבית המשפט של פשיטת רגל או לנקוט בכל הליך אחר כדי לבטא השגות אלו, הן לאחר שנחתמה הפסיקתה (ביום 11.10.2023), והן לאחר שהפינוי בוצע (ביום 23.1.2024). רק ביום 30.5.2024 – דהיינו בחלוף למעלה משבעה חודשים ממתן הפסיקתה, ולמעלה מארבעה חודשים מהפינוי עצמו, בהם הוא ומשפחתו הגרעינית לא התגוררו בקומת הקרקע – הוא בחר להגיש תובענה למתן סעד הצהרתי לבית משפט לענייני משפחה. לא למותר לציין, בהקשר זה, כי המבקש אף נכח בדיון אשר נערך בתיק הפש"ר ביום 15.2.2024, ולא מצא לנכון להעלות במסגרתו כל טענה הנוגעת לזכויותיו בנכס. על רקע כל זאת, איני מוצא הצדקה להתערב בהחלטתו של בית המשפט קמא לדחות את הבקשה לביטול הפסיקתה (ראו והשוו: </w:t>
      </w:r>
      <w:hyperlink r:id="rId38" w:history="1">
        <w:r w:rsidR="00E93FCE" w:rsidRPr="00E93FCE">
          <w:rPr>
            <w:rFonts w:hint="eastAsia"/>
            <w:color w:val="0000FF"/>
            <w:u w:val="single"/>
            <w:rtl/>
          </w:rPr>
          <w:t>בג</w:t>
        </w:r>
        <w:r w:rsidR="00E93FCE" w:rsidRPr="00E93FCE">
          <w:rPr>
            <w:color w:val="0000FF"/>
            <w:u w:val="single"/>
            <w:rtl/>
          </w:rPr>
          <w:t>"</w:t>
        </w:r>
        <w:r w:rsidR="00E93FCE" w:rsidRPr="00E93FCE">
          <w:rPr>
            <w:rFonts w:hint="eastAsia"/>
            <w:color w:val="0000FF"/>
            <w:u w:val="single"/>
            <w:rtl/>
          </w:rPr>
          <w:t>ץ</w:t>
        </w:r>
        <w:r w:rsidR="00E93FCE" w:rsidRPr="00E93FCE">
          <w:rPr>
            <w:color w:val="0000FF"/>
            <w:u w:val="single"/>
            <w:rtl/>
          </w:rPr>
          <w:t xml:space="preserve"> 4077/92</w:t>
        </w:r>
      </w:hyperlink>
      <w:r>
        <w:rPr>
          <w:rtl/>
        </w:rPr>
        <w:t xml:space="preserve"> </w:t>
      </w:r>
      <w:r>
        <w:rPr>
          <w:rFonts w:ascii="Century" w:hAnsi="Century" w:cs="Miriam"/>
          <w:b/>
          <w:spacing w:val="0"/>
          <w:sz w:val="22"/>
          <w:szCs w:val="24"/>
          <w:rtl/>
        </w:rPr>
        <w:t>אבישר נ' שר הפנים</w:t>
      </w:r>
      <w:r>
        <w:rPr>
          <w:rtl/>
        </w:rPr>
        <w:t xml:space="preserve">, פ"ד מז(2) 837, 842-841 (1993); </w:t>
      </w:r>
      <w:hyperlink r:id="rId39"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6301/05</w:t>
        </w:r>
      </w:hyperlink>
      <w:r>
        <w:rPr>
          <w:rtl/>
        </w:rPr>
        <w:t xml:space="preserve"> </w:t>
      </w:r>
      <w:r>
        <w:rPr>
          <w:rFonts w:ascii="Century" w:hAnsi="Century" w:cs="Miriam"/>
          <w:b/>
          <w:spacing w:val="0"/>
          <w:sz w:val="22"/>
          <w:szCs w:val="24"/>
          <w:rtl/>
        </w:rPr>
        <w:t>סופר (סייג) נ' בנק דיסקונט בע"מ</w:t>
      </w:r>
      <w:r>
        <w:rPr>
          <w:rtl/>
        </w:rPr>
        <w:t xml:space="preserve">, פסקה 13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(21.12.2006); </w:t>
      </w:r>
      <w:hyperlink r:id="rId40" w:history="1">
        <w:r w:rsidR="00E93FCE" w:rsidRPr="00E93FCE">
          <w:rPr>
            <w:rFonts w:hint="eastAsia"/>
            <w:color w:val="0000FF"/>
            <w:u w:val="single"/>
            <w:rtl/>
          </w:rPr>
          <w:t>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8958/10</w:t>
        </w:r>
      </w:hyperlink>
      <w:r>
        <w:rPr>
          <w:rtl/>
        </w:rPr>
        <w:t xml:space="preserve"> </w:t>
      </w:r>
      <w:r>
        <w:rPr>
          <w:rFonts w:ascii="Century" w:hAnsi="Century" w:cs="Miriam"/>
          <w:b/>
          <w:spacing w:val="0"/>
          <w:sz w:val="22"/>
          <w:szCs w:val="24"/>
          <w:rtl/>
        </w:rPr>
        <w:t xml:space="preserve">עיריית רמת השרון </w:t>
      </w:r>
      <w:r>
        <w:rPr>
          <w:rFonts w:ascii="Century" w:hAnsi="Century" w:cs="Miriam"/>
          <w:b/>
          <w:spacing w:val="0"/>
          <w:sz w:val="22"/>
          <w:szCs w:val="24"/>
          <w:rtl/>
        </w:rPr>
        <w:lastRenderedPageBreak/>
        <w:t>נ' טו-מז חברה קבלנית בע"מ</w:t>
      </w:r>
      <w:r>
        <w:rPr>
          <w:rtl/>
        </w:rPr>
        <w:t xml:space="preserve">, פסקאות 18-14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(9.7.2012)). ודוק, טענותיו של המבקש ביחס לזכויותיו בקומת הקרקע עתידות להישמע ולהתברר במסגרת תובענת המבקש, והבקשה לפסק דין הצהרתי שהגישה הנאמנת, כחלק מתיק הפש"ר. משמעות החלטה בית המשפט קמא בסוגיה זו איננה כי הטענות האמורות נדחו, אלא כי לנוכח לשון הפסיקתה המפורשת והשיהוי שחל בהתנהלותו של המבקש לא יוּתר לו ולבני משפחתו הגרעינית לשוב ולהתגורר בנכס בטרם בירור טענות אלו.</w:t>
      </w:r>
    </w:p>
    <w:p w14:paraId="3CD0D60B" w14:textId="77777777" w:rsidR="00C95DBB" w:rsidRDefault="00C95DBB" w:rsidP="00C95DBB">
      <w:pPr>
        <w:pStyle w:val="Ruller40"/>
        <w:rPr>
          <w:rtl/>
        </w:rPr>
      </w:pPr>
    </w:p>
    <w:p w14:paraId="32B04747" w14:textId="77777777" w:rsidR="00C95DBB" w:rsidRDefault="00000000" w:rsidP="00C95DBB">
      <w:pPr>
        <w:pStyle w:val="Ruller40"/>
        <w:ind w:firstLine="799"/>
      </w:pPr>
      <w:r>
        <w:rPr>
          <w:rtl/>
        </w:rPr>
        <w:t>לסיום נקודה זו, יובהר כי אף הישענותו של המבקש על סעיפי חוק שונים, שלטענתו "</w:t>
      </w:r>
      <w:r>
        <w:rPr>
          <w:rFonts w:ascii="Century" w:hAnsi="Century" w:cs="Miriam"/>
          <w:b/>
          <w:spacing w:val="0"/>
          <w:szCs w:val="24"/>
          <w:rtl/>
        </w:rPr>
        <w:t>אוסרים על פגיעה בו</w:t>
      </w:r>
      <w:r>
        <w:rPr>
          <w:rtl/>
        </w:rPr>
        <w:t>" בהיותו צד ג', אינה מסייעת לו, שכן חלקם אינם חלים במקרה דנן (</w:t>
      </w:r>
      <w:hyperlink r:id="rId41" w:history="1">
        <w:r w:rsidR="009A7C4C" w:rsidRPr="009A7C4C">
          <w:rPr>
            <w:rStyle w:val="Hyperlink"/>
            <w:rtl/>
          </w:rPr>
          <w:t>סעיף 139</w:t>
        </w:r>
      </w:hyperlink>
      <w:r>
        <w:rPr>
          <w:rtl/>
        </w:rPr>
        <w:t xml:space="preserve"> ל</w:t>
      </w:r>
      <w:hyperlink r:id="rId42" w:history="1">
        <w:r w:rsidR="00E93FCE" w:rsidRPr="00E93FCE">
          <w:rPr>
            <w:color w:val="0000FF"/>
            <w:u w:val="single"/>
            <w:rtl/>
          </w:rPr>
          <w:t>חוק חדלות פירעון ושיקום כלכלי, התשע"ח-2018</w:t>
        </w:r>
      </w:hyperlink>
      <w:r>
        <w:rPr>
          <w:rtl/>
        </w:rPr>
        <w:t xml:space="preserve">; </w:t>
      </w:r>
      <w:hyperlink r:id="rId43" w:history="1">
        <w:r w:rsidR="009A7C4C" w:rsidRPr="009A7C4C">
          <w:rPr>
            <w:rStyle w:val="Hyperlink"/>
            <w:rtl/>
          </w:rPr>
          <w:t>סעיף 64</w:t>
        </w:r>
      </w:hyperlink>
      <w:r>
        <w:rPr>
          <w:rtl/>
        </w:rPr>
        <w:t xml:space="preserve"> ל</w:t>
      </w:r>
      <w:hyperlink r:id="rId44" w:history="1">
        <w:r w:rsidR="00E93FCE" w:rsidRPr="00E93FCE">
          <w:rPr>
            <w:color w:val="0000FF"/>
            <w:u w:val="single"/>
            <w:rtl/>
          </w:rPr>
          <w:t>חוק הוצאה לפועל</w:t>
        </w:r>
      </w:hyperlink>
      <w:r>
        <w:rPr>
          <w:rtl/>
        </w:rPr>
        <w:t>, התשכ"ז-1967), וחלקם האחר אך מקנה לצד ג' שנפגע מפעולות הנאמן זכות עמידה בבית המשפט – הא ותו לא (</w:t>
      </w:r>
      <w:hyperlink r:id="rId45" w:history="1">
        <w:r w:rsidR="009A7C4C" w:rsidRPr="009A7C4C">
          <w:rPr>
            <w:rStyle w:val="Hyperlink"/>
            <w:rtl/>
          </w:rPr>
          <w:t>סעיף 150</w:t>
        </w:r>
      </w:hyperlink>
      <w:r>
        <w:rPr>
          <w:rtl/>
        </w:rPr>
        <w:t xml:space="preserve"> לפקודה).</w:t>
      </w:r>
    </w:p>
    <w:p w14:paraId="2FAB3C1F" w14:textId="77777777" w:rsidR="00C95DBB" w:rsidRDefault="00C95DBB" w:rsidP="00C95DBB">
      <w:pPr>
        <w:pStyle w:val="Ruller40"/>
        <w:rPr>
          <w:rtl/>
        </w:rPr>
      </w:pPr>
    </w:p>
    <w:p w14:paraId="572E361F" w14:textId="77777777" w:rsidR="00C95DBB" w:rsidRDefault="00000000" w:rsidP="0022791C">
      <w:pPr>
        <w:pStyle w:val="Ruller4"/>
        <w:rPr>
          <w:rtl/>
        </w:rPr>
      </w:pPr>
      <w:r>
        <w:rPr>
          <w:rFonts w:ascii="Century" w:hAnsi="Century" w:cs="Miriam"/>
          <w:b/>
          <w:spacing w:val="0"/>
          <w:sz w:val="22"/>
          <w:szCs w:val="24"/>
          <w:rtl/>
        </w:rPr>
        <w:t>שלישית</w:t>
      </w:r>
      <w:r>
        <w:rPr>
          <w:rtl/>
        </w:rPr>
        <w:t xml:space="preserve">, ולבסוף, איני רואה כל הצדקה להתערב בהחלטת בית המשפט קמא ביחס לבקשת הנאמנת למתן פסק דין הצהרתי. כנזכר לעיל, כל שנקבע ברכיב זה של ההחלטה הוא כי על הנאמנת לשקול הגשת בקשה מתוקנת אליה יצורפו משיבים רלוונטיים נוספים. אף אם אתייחס להערה זו של בית המשפט קמא כהחלטה עליה ניתן לערער, בטענת המבקש כי לבית המשפט קמא אין סמכות עניינית ביחס לבקשת הנאמנת האמורה אין ממש. הפסיקה קבעה זה מכבר כי לבית משפט של פשיטת רגל מוקנית הסמכות לדון </w:t>
      </w:r>
      <w:r w:rsidR="0022791C">
        <w:rPr>
          <w:rFonts w:hint="cs"/>
          <w:rtl/>
        </w:rPr>
        <w:t xml:space="preserve">גם </w:t>
      </w:r>
      <w:r>
        <w:rPr>
          <w:rtl/>
        </w:rPr>
        <w:t xml:space="preserve">בעניינים אשר באופן רגיל </w:t>
      </w:r>
      <w:r w:rsidR="0022791C">
        <w:rPr>
          <w:rFonts w:hint="cs"/>
          <w:rtl/>
        </w:rPr>
        <w:t>נדונים ב</w:t>
      </w:r>
      <w:r>
        <w:rPr>
          <w:rtl/>
        </w:rPr>
        <w:t xml:space="preserve">בתי משפט אחרים, לרבות בית משפט לענייני משפחה, וזאת ככל שאלו קשורים לענייני פשיטת הרגל שעל הפרק (ראו: </w:t>
      </w:r>
      <w:hyperlink r:id="rId46" w:history="1">
        <w:r w:rsidR="009A7C4C" w:rsidRPr="009A7C4C">
          <w:rPr>
            <w:rStyle w:val="Hyperlink"/>
            <w:rFonts w:hint="eastAsia"/>
            <w:rtl/>
          </w:rPr>
          <w:t>סעיף</w:t>
        </w:r>
        <w:r w:rsidR="009A7C4C" w:rsidRPr="009A7C4C">
          <w:rPr>
            <w:rStyle w:val="Hyperlink"/>
            <w:rtl/>
          </w:rPr>
          <w:t xml:space="preserve"> 178(</w:t>
        </w:r>
        <w:r w:rsidR="009A7C4C" w:rsidRPr="009A7C4C">
          <w:rPr>
            <w:rStyle w:val="Hyperlink"/>
            <w:rFonts w:hint="eastAsia"/>
            <w:rtl/>
          </w:rPr>
          <w:t>א</w:t>
        </w:r>
        <w:r w:rsidR="009A7C4C" w:rsidRPr="009A7C4C">
          <w:rPr>
            <w:rStyle w:val="Hyperlink"/>
            <w:rtl/>
          </w:rPr>
          <w:t>)</w:t>
        </w:r>
      </w:hyperlink>
      <w:r>
        <w:rPr>
          <w:rtl/>
        </w:rPr>
        <w:t xml:space="preserve"> ל</w:t>
      </w:r>
      <w:hyperlink r:id="rId47" w:history="1">
        <w:r w:rsidR="00E93FCE" w:rsidRPr="00E93FCE">
          <w:rPr>
            <w:rFonts w:hint="eastAsia"/>
            <w:color w:val="0000FF"/>
            <w:u w:val="single"/>
            <w:rtl/>
          </w:rPr>
          <w:t>פקודת</w:t>
        </w:r>
        <w:r w:rsidR="00E93FCE" w:rsidRPr="00E93FCE">
          <w:rPr>
            <w:color w:val="0000FF"/>
            <w:u w:val="single"/>
            <w:rtl/>
          </w:rPr>
          <w:t xml:space="preserve"> </w:t>
        </w:r>
        <w:r w:rsidR="00E93FCE" w:rsidRPr="00E93FCE">
          <w:rPr>
            <w:rFonts w:hint="eastAsia"/>
            <w:color w:val="0000FF"/>
            <w:u w:val="single"/>
            <w:rtl/>
          </w:rPr>
          <w:t>פשיטת</w:t>
        </w:r>
        <w:r w:rsidR="00E93FCE" w:rsidRPr="00E93FCE">
          <w:rPr>
            <w:color w:val="0000FF"/>
            <w:u w:val="single"/>
            <w:rtl/>
          </w:rPr>
          <w:t xml:space="preserve"> </w:t>
        </w:r>
        <w:r w:rsidR="00E93FCE" w:rsidRPr="00E93FCE">
          <w:rPr>
            <w:rFonts w:hint="eastAsia"/>
            <w:color w:val="0000FF"/>
            <w:u w:val="single"/>
            <w:rtl/>
          </w:rPr>
          <w:t>הרגל</w:t>
        </w:r>
      </w:hyperlink>
      <w:r>
        <w:rPr>
          <w:rtl/>
        </w:rPr>
        <w:t xml:space="preserve">; </w:t>
      </w:r>
      <w:hyperlink r:id="rId48" w:history="1">
        <w:r w:rsidR="00E93FCE" w:rsidRPr="00E93FCE">
          <w:rPr>
            <w:rFonts w:hint="eastAsia"/>
            <w:color w:val="0000FF"/>
            <w:u w:val="single"/>
            <w:rtl/>
          </w:rPr>
          <w:t>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5090/08</w:t>
        </w:r>
      </w:hyperlink>
      <w:r>
        <w:rPr>
          <w:rtl/>
        </w:rPr>
        <w:t xml:space="preserve"> </w:t>
      </w:r>
      <w:r>
        <w:rPr>
          <w:rFonts w:ascii="Century" w:hAnsi="Century" w:cs="Miriam"/>
          <w:b/>
          <w:spacing w:val="0"/>
          <w:sz w:val="22"/>
          <w:szCs w:val="24"/>
          <w:rtl/>
        </w:rPr>
        <w:t>אורגל נ' עו"ד עופר אטיאס בתפקידו כנאמן</w:t>
      </w:r>
      <w:r>
        <w:rPr>
          <w:rtl/>
        </w:rPr>
        <w:t xml:space="preserve">, פסקאות ל"ה-ל"ז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(8.12.2010); </w:t>
      </w:r>
      <w:hyperlink r:id="rId49"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4258/17</w:t>
        </w:r>
      </w:hyperlink>
      <w:r>
        <w:rPr>
          <w:rtl/>
        </w:rPr>
        <w:t xml:space="preserve"> </w:t>
      </w:r>
      <w:r>
        <w:rPr>
          <w:rFonts w:ascii="Century" w:hAnsi="Century" w:cs="Miriam"/>
          <w:b/>
          <w:spacing w:val="0"/>
          <w:sz w:val="22"/>
          <w:szCs w:val="24"/>
          <w:rtl/>
        </w:rPr>
        <w:t>מגן נ' ענבי</w:t>
      </w:r>
      <w:r>
        <w:rPr>
          <w:rtl/>
        </w:rPr>
        <w:t xml:space="preserve">, פסקה 9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(29.6.2017); </w:t>
      </w:r>
      <w:hyperlink r:id="rId50"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2270/19</w:t>
        </w:r>
      </w:hyperlink>
      <w:r>
        <w:rPr>
          <w:rtl/>
        </w:rPr>
        <w:t xml:space="preserve"> </w:t>
      </w:r>
      <w:r>
        <w:rPr>
          <w:rFonts w:ascii="Century" w:hAnsi="Century" w:cs="Miriam"/>
          <w:b/>
          <w:spacing w:val="0"/>
          <w:sz w:val="22"/>
          <w:szCs w:val="24"/>
          <w:rtl/>
        </w:rPr>
        <w:t>עו"ד יניב אינסל נ' כונס הנכסים הרשמי</w:t>
      </w:r>
      <w:r>
        <w:rPr>
          <w:rtl/>
        </w:rPr>
        <w:t xml:space="preserve">, פסקה 12 </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(24.6.2019); עניין </w:t>
      </w:r>
      <w:r>
        <w:rPr>
          <w:rFonts w:ascii="Century" w:hAnsi="Century" w:cs="Miriam"/>
          <w:b/>
          <w:spacing w:val="0"/>
          <w:sz w:val="22"/>
          <w:szCs w:val="24"/>
          <w:rtl/>
        </w:rPr>
        <w:t>הנדל</w:t>
      </w:r>
      <w:r>
        <w:rPr>
          <w:rtl/>
        </w:rPr>
        <w:t xml:space="preserve">, בפסקה 15; </w:t>
      </w:r>
      <w:hyperlink r:id="rId51" w:history="1">
        <w:r w:rsidR="00E93FCE" w:rsidRPr="00E93FCE">
          <w:rPr>
            <w:rFonts w:hint="eastAsia"/>
            <w:color w:val="0000FF"/>
            <w:u w:val="single"/>
            <w:rtl/>
          </w:rPr>
          <w:t>רע</w:t>
        </w:r>
        <w:r w:rsidR="00E93FCE" w:rsidRPr="00E93FCE">
          <w:rPr>
            <w:color w:val="0000FF"/>
            <w:u w:val="single"/>
            <w:rtl/>
          </w:rPr>
          <w:t>"</w:t>
        </w:r>
        <w:r w:rsidR="00E93FCE" w:rsidRPr="00E93FCE">
          <w:rPr>
            <w:rFonts w:hint="eastAsia"/>
            <w:color w:val="0000FF"/>
            <w:u w:val="single"/>
            <w:rtl/>
          </w:rPr>
          <w:t>א</w:t>
        </w:r>
        <w:r w:rsidR="00E93FCE" w:rsidRPr="00E93FCE">
          <w:rPr>
            <w:color w:val="0000FF"/>
            <w:u w:val="single"/>
            <w:rtl/>
          </w:rPr>
          <w:t xml:space="preserve"> 7719/23</w:t>
        </w:r>
      </w:hyperlink>
      <w:r>
        <w:rPr>
          <w:rtl/>
        </w:rPr>
        <w:t xml:space="preserve"> </w:t>
      </w:r>
      <w:r>
        <w:rPr>
          <w:rFonts w:ascii="Century" w:hAnsi="Century" w:cs="Miriam"/>
          <w:b/>
          <w:spacing w:val="0"/>
          <w:sz w:val="22"/>
          <w:szCs w:val="24"/>
          <w:rtl/>
        </w:rPr>
        <w:t>מילשטיין נ' נדב לב, עו"ד מנהל מיוחד</w:t>
      </w:r>
      <w:r>
        <w:rPr>
          <w:rtl/>
        </w:rPr>
        <w:t>, פסקה 20</w:t>
      </w:r>
      <w:r w:rsidR="009B7241" w:rsidRPr="009B7241">
        <w:rPr>
          <w:rFonts w:ascii="Times New Roman" w:hAnsi="Times New Roman" w:cs="David"/>
          <w:spacing w:val="0"/>
          <w:sz w:val="22"/>
          <w:szCs w:val="24"/>
          <w:rtl/>
        </w:rPr>
        <w:t>[</w:t>
      </w:r>
      <w:r w:rsidR="009B7241" w:rsidRPr="009B7241">
        <w:rPr>
          <w:rFonts w:ascii="Times New Roman" w:hAnsi="Times New Roman" w:cs="David" w:hint="eastAsia"/>
          <w:spacing w:val="0"/>
          <w:sz w:val="22"/>
          <w:szCs w:val="24"/>
          <w:rtl/>
        </w:rPr>
        <w:t>פורסם</w:t>
      </w:r>
      <w:r w:rsidR="009B7241" w:rsidRPr="009B7241">
        <w:rPr>
          <w:rFonts w:ascii="Times New Roman" w:hAnsi="Times New Roman" w:cs="David"/>
          <w:spacing w:val="0"/>
          <w:sz w:val="22"/>
          <w:szCs w:val="24"/>
          <w:rtl/>
        </w:rPr>
        <w:t xml:space="preserve"> </w:t>
      </w:r>
      <w:r w:rsidR="009B7241" w:rsidRPr="009B7241">
        <w:rPr>
          <w:rFonts w:ascii="Times New Roman" w:hAnsi="Times New Roman" w:cs="David" w:hint="eastAsia"/>
          <w:spacing w:val="0"/>
          <w:sz w:val="22"/>
          <w:szCs w:val="24"/>
          <w:rtl/>
        </w:rPr>
        <w:t>בנבו</w:t>
      </w:r>
      <w:r w:rsidR="009B7241" w:rsidRPr="009B7241">
        <w:rPr>
          <w:rFonts w:ascii="Times New Roman" w:hAnsi="Times New Roman" w:cs="David"/>
          <w:spacing w:val="0"/>
          <w:sz w:val="22"/>
          <w:szCs w:val="24"/>
          <w:rtl/>
        </w:rPr>
        <w:t xml:space="preserve">] </w:t>
      </w:r>
      <w:r>
        <w:rPr>
          <w:rtl/>
        </w:rPr>
        <w:t xml:space="preserve"> (23.1.2024)). בהינתן שכך, ולנוכח העובדה שעניינה של הבקשה למתן פסק דין הצהרתי בשאלת הזכויות בנכס, ברי כי החלטתו של בית המשפט קמא ניתנה בסמכות. המבקש מלין על הסרבול אליו יוביל לגישתו הדיון ביחס לזכויות בנכס במסגרת תיק הפש"ר, אלא שגם דינן של טענות אלו להידחות, ולו משום ששיקול דעתו של בית משפט של פשיטת רגל בנושא זה רחב מאוד. חזקה על בית המשפט כי החלטותיו בעניין אופן בירור הדיון </w:t>
      </w:r>
      <w:r>
        <w:rPr>
          <w:rtl/>
        </w:rPr>
        <w:lastRenderedPageBreak/>
        <w:t>בחלוקת הזכויות בנכס התקבלו לאחר ששקל את הגורמים הרלוונטיים בהקשר זה, ובהם את התמשכות ההליכים בתיק הפש"ר ומורכבותם.</w:t>
      </w:r>
    </w:p>
    <w:p w14:paraId="22DF1A55" w14:textId="77777777" w:rsidR="00C95DBB" w:rsidRDefault="00C95DBB" w:rsidP="00C95DBB">
      <w:pPr>
        <w:pStyle w:val="Ruller4"/>
        <w:numPr>
          <w:ilvl w:val="0"/>
          <w:numId w:val="0"/>
        </w:numPr>
      </w:pPr>
    </w:p>
    <w:p w14:paraId="6401E4E6" w14:textId="77777777" w:rsidR="00694556" w:rsidRDefault="00C95DBB" w:rsidP="00C95DBB">
      <w:pPr>
        <w:pStyle w:val="Ruller4"/>
        <w:rPr>
          <w:rtl/>
        </w:rPr>
      </w:pPr>
      <w:r>
        <w:rPr>
          <w:rFonts w:ascii="Century" w:hAnsi="Century" w:cs="Miriam"/>
          <w:b/>
          <w:spacing w:val="0"/>
          <w:sz w:val="22"/>
          <w:szCs w:val="24"/>
          <w:rtl/>
        </w:rPr>
        <w:t>סוף דבר</w:t>
      </w:r>
      <w:r>
        <w:rPr>
          <w:rtl/>
        </w:rPr>
        <w:t>: בקשת רשות הערעור נדחית. משלא התבקשה תגובת המשיבים, אין צו להוצאות.</w:t>
      </w:r>
    </w:p>
    <w:p w14:paraId="37B74A56" w14:textId="77777777" w:rsidR="00C95DBB" w:rsidRPr="00E93FCE" w:rsidRDefault="00E93FCE" w:rsidP="00C95DBB">
      <w:pPr>
        <w:pStyle w:val="Ruller40"/>
        <w:rPr>
          <w:color w:val="FFFFFF"/>
          <w:sz w:val="2"/>
          <w:szCs w:val="2"/>
          <w:rtl/>
        </w:rPr>
      </w:pPr>
      <w:r w:rsidRPr="00E93FCE">
        <w:rPr>
          <w:color w:val="FFFFFF"/>
          <w:sz w:val="2"/>
          <w:szCs w:val="2"/>
          <w:rtl/>
        </w:rPr>
        <w:t>5129371</w:t>
      </w:r>
    </w:p>
    <w:tbl>
      <w:tblPr>
        <w:bidiVisual/>
        <w:tblW w:w="0" w:type="auto"/>
        <w:jc w:val="center"/>
        <w:tblLook w:val="04A0" w:firstRow="1" w:lastRow="0" w:firstColumn="1" w:lastColumn="0" w:noHBand="0" w:noVBand="1"/>
      </w:tblPr>
      <w:tblGrid>
        <w:gridCol w:w="2765"/>
        <w:gridCol w:w="2766"/>
        <w:gridCol w:w="2766"/>
      </w:tblGrid>
      <w:tr w:rsidR="008B2575" w14:paraId="5D306CEE" w14:textId="77777777" w:rsidTr="00E93FCE">
        <w:trPr>
          <w:jc w:val="center"/>
        </w:trPr>
        <w:tc>
          <w:tcPr>
            <w:tcW w:w="2765" w:type="dxa"/>
            <w:shd w:val="clear" w:color="auto" w:fill="auto"/>
          </w:tcPr>
          <w:p w14:paraId="0DAB859C" w14:textId="77777777" w:rsidR="00146EF0" w:rsidRPr="00E93FCE" w:rsidRDefault="00E93FCE" w:rsidP="00E93FCE">
            <w:pPr>
              <w:tabs>
                <w:tab w:val="left" w:pos="2553"/>
              </w:tabs>
              <w:rPr>
                <w:rFonts w:ascii="FrankRuehl" w:hAnsi="FrankRuehl" w:cs="FrankRuehl"/>
                <w:sz w:val="28"/>
                <w:szCs w:val="28"/>
                <w:rtl/>
              </w:rPr>
            </w:pPr>
            <w:bookmarkStart w:id="7" w:name="Nitan"/>
            <w:r w:rsidRPr="00E93FCE">
              <w:rPr>
                <w:rFonts w:ascii="FrankRuehl" w:hAnsi="FrankRuehl" w:cs="FrankRuehl"/>
                <w:color w:val="FFFFFF"/>
                <w:spacing w:val="10"/>
                <w:sz w:val="2"/>
                <w:szCs w:val="2"/>
                <w:rtl/>
              </w:rPr>
              <w:t>54678313</w:t>
            </w:r>
            <w:r w:rsidRPr="00E93FCE">
              <w:rPr>
                <w:rFonts w:ascii="FrankRuehl" w:hAnsi="FrankRuehl" w:cs="FrankRuehl"/>
                <w:spacing w:val="10"/>
                <w:sz w:val="28"/>
                <w:szCs w:val="28"/>
                <w:rtl/>
              </w:rPr>
              <w:t xml:space="preserve">ניתנה היום, כ"ד כסלו תשפ"ה (25 דצמבר 2024).          </w:t>
            </w:r>
            <w:bookmarkEnd w:id="7"/>
          </w:p>
        </w:tc>
        <w:tc>
          <w:tcPr>
            <w:tcW w:w="2766" w:type="dxa"/>
            <w:shd w:val="clear" w:color="auto" w:fill="auto"/>
          </w:tcPr>
          <w:p w14:paraId="08316646" w14:textId="77777777" w:rsidR="00146EF0" w:rsidRPr="00E93FCE" w:rsidRDefault="00146EF0" w:rsidP="00E93FCE">
            <w:pPr>
              <w:tabs>
                <w:tab w:val="left" w:pos="2553"/>
              </w:tabs>
              <w:rPr>
                <w:rFonts w:ascii="FrankRuehl" w:hAnsi="FrankRuehl" w:cs="FrankRuehl"/>
                <w:sz w:val="28"/>
                <w:szCs w:val="28"/>
                <w:rtl/>
              </w:rPr>
            </w:pPr>
          </w:p>
        </w:tc>
        <w:tc>
          <w:tcPr>
            <w:tcW w:w="2766" w:type="dxa"/>
            <w:shd w:val="clear" w:color="auto" w:fill="auto"/>
          </w:tcPr>
          <w:p w14:paraId="6A2D5289" w14:textId="77777777" w:rsidR="00E93FCE" w:rsidRPr="00E93FCE" w:rsidRDefault="00E93FCE">
            <w:pPr>
              <w:rPr>
                <w:rFonts w:ascii="Courier New" w:hAnsi="Courier New"/>
                <w:sz w:val="20"/>
                <w:szCs w:val="20"/>
                <w:rtl/>
              </w:rPr>
            </w:pPr>
          </w:p>
          <w:p w14:paraId="67C43A11" w14:textId="77777777" w:rsidR="00E93FCE" w:rsidRPr="00E93FCE" w:rsidRDefault="00000000" w:rsidP="00E93FCE">
            <w:pPr>
              <w:jc w:val="center"/>
              <w:rPr>
                <w:rFonts w:ascii="FrankRuehl" w:hAnsi="FrankRuehl" w:cs="FrankRuehl"/>
                <w:spacing w:val="10"/>
                <w:sz w:val="28"/>
                <w:szCs w:val="28"/>
                <w:rtl/>
              </w:rPr>
            </w:pPr>
            <w:r w:rsidRPr="00E93FCE">
              <w:rPr>
                <w:rFonts w:ascii="FrankRuehl" w:hAnsi="FrankRuehl" w:cs="FrankRuehl"/>
                <w:spacing w:val="10"/>
                <w:sz w:val="28"/>
                <w:szCs w:val="28"/>
                <w:rtl/>
              </w:rPr>
              <w:t>עופר גרוסקופף</w:t>
            </w:r>
          </w:p>
          <w:p w14:paraId="6DF49862" w14:textId="77777777" w:rsidR="00E93FCE" w:rsidRPr="00E93FCE" w:rsidRDefault="00000000">
            <w:pPr>
              <w:rPr>
                <w:rFonts w:ascii="FrankRuehl" w:hAnsi="FrankRuehl" w:cs="FrankRuehl"/>
                <w:spacing w:val="10"/>
                <w:sz w:val="28"/>
                <w:szCs w:val="28"/>
                <w:rtl/>
              </w:rPr>
            </w:pPr>
            <w:r w:rsidRPr="00E93FCE">
              <w:rPr>
                <w:rFonts w:ascii="FrankRuehl" w:hAnsi="FrankRuehl" w:cs="FrankRuehl"/>
                <w:spacing w:val="10"/>
                <w:sz w:val="28"/>
                <w:szCs w:val="28"/>
                <w:rtl/>
              </w:rPr>
              <w:t>שופט</w:t>
            </w:r>
          </w:p>
          <w:p w14:paraId="5B86CB41" w14:textId="77777777" w:rsidR="00146EF0" w:rsidRPr="00E93FCE" w:rsidRDefault="00146EF0" w:rsidP="00E93FCE">
            <w:pPr>
              <w:tabs>
                <w:tab w:val="left" w:pos="2553"/>
              </w:tabs>
              <w:rPr>
                <w:rFonts w:ascii="FrankRuehl" w:hAnsi="FrankRuehl" w:cs="FrankRuehl"/>
                <w:sz w:val="28"/>
                <w:szCs w:val="28"/>
              </w:rPr>
            </w:pPr>
          </w:p>
        </w:tc>
      </w:tr>
    </w:tbl>
    <w:p w14:paraId="25CFCB04" w14:textId="77777777" w:rsidR="00146EF0" w:rsidRPr="00E93FCE" w:rsidRDefault="00146EF0" w:rsidP="00E93FCE">
      <w:pPr>
        <w:keepNext/>
        <w:tabs>
          <w:tab w:val="left" w:pos="2553"/>
        </w:tabs>
        <w:rPr>
          <w:rFonts w:ascii="David" w:hAnsi="David"/>
          <w:color w:val="000000"/>
          <w:sz w:val="22"/>
          <w:szCs w:val="22"/>
          <w:rtl/>
        </w:rPr>
      </w:pPr>
    </w:p>
    <w:p w14:paraId="2261C7C9" w14:textId="77777777" w:rsidR="00E93FCE" w:rsidRPr="00E93FCE" w:rsidRDefault="00E93FCE" w:rsidP="00E93FCE">
      <w:pPr>
        <w:tabs>
          <w:tab w:val="left" w:pos="2553"/>
        </w:tabs>
        <w:jc w:val="center"/>
        <w:rPr>
          <w:rFonts w:ascii="FrankRuehl" w:hAnsi="FrankRuehl"/>
          <w:color w:val="0000FF"/>
          <w:sz w:val="28"/>
          <w:u w:val="single"/>
          <w:rtl/>
        </w:rPr>
      </w:pPr>
    </w:p>
    <w:sectPr w:rsidR="00E93FCE" w:rsidRPr="00E93FCE" w:rsidSect="00E93FCE">
      <w:headerReference w:type="even" r:id="rId52"/>
      <w:headerReference w:type="default" r:id="rId53"/>
      <w:footerReference w:type="even" r:id="rId54"/>
      <w:footerReference w:type="default" r:id="rId55"/>
      <w:footerReference w:type="first" r:id="rId56"/>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8CAFE" w14:textId="77777777" w:rsidR="002F333B" w:rsidRDefault="002F333B">
      <w:r>
        <w:separator/>
      </w:r>
    </w:p>
  </w:endnote>
  <w:endnote w:type="continuationSeparator" w:id="0">
    <w:p w14:paraId="12038D23" w14:textId="77777777" w:rsidR="002F333B" w:rsidRDefault="002F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9E03" w14:textId="77777777" w:rsidR="00970727" w:rsidRDefault="00000000" w:rsidP="00E93FCE">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7</w:t>
    </w:r>
    <w:r>
      <w:rPr>
        <w:rFonts w:ascii="FrankRuehl" w:hAnsi="FrankRuehl" w:cs="FrankRuehl"/>
        <w:rtl/>
      </w:rPr>
      <w:fldChar w:fldCharType="end"/>
    </w:r>
  </w:p>
  <w:p w14:paraId="3A0599FA" w14:textId="2B7FA0BA" w:rsidR="00970727" w:rsidRPr="00E93FCE" w:rsidRDefault="00475396" w:rsidP="00E93FCE">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20F7E873" wp14:editId="65FCBA30">
          <wp:extent cx="552450" cy="228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0226" w14:textId="77777777" w:rsidR="00970727" w:rsidRDefault="00000000" w:rsidP="00E93FCE">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1</w:t>
    </w:r>
    <w:r>
      <w:rPr>
        <w:rFonts w:ascii="FrankRuehl" w:hAnsi="FrankRuehl" w:cs="FrankRuehl"/>
        <w:rtl/>
      </w:rPr>
      <w:fldChar w:fldCharType="end"/>
    </w:r>
  </w:p>
  <w:p w14:paraId="43F956BA" w14:textId="2E417010" w:rsidR="00970727" w:rsidRPr="00E93FCE" w:rsidRDefault="00970727" w:rsidP="00E93FCE">
    <w:pPr>
      <w:pStyle w:val="a7"/>
      <w:pBdr>
        <w:top w:val="single" w:sz="4" w:space="1" w:color="auto"/>
        <w:between w:val="single" w:sz="4" w:space="0" w:color="auto"/>
      </w:pBdr>
      <w:spacing w:after="60"/>
      <w:jc w:val="center"/>
      <w:rPr>
        <w:rFonts w:ascii="FrankRuehl" w:hAnsi="FrankRuehl" w:cs="FrankRuehl" w:hint="cs"/>
        <w:color w:val="00000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85B7F" w14:textId="77777777" w:rsidR="00970727" w:rsidRDefault="00970727" w:rsidP="001D27E2">
    <w:pPr>
      <w:pStyle w:val="a7"/>
      <w:rPr>
        <w:rtl/>
        <w:cs/>
      </w:rPr>
    </w:pPr>
  </w:p>
  <w:p w14:paraId="7B6AEE0D" w14:textId="77777777" w:rsidR="00970727" w:rsidRDefault="009707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98332" w14:textId="77777777" w:rsidR="002F333B" w:rsidRDefault="002F333B">
      <w:r>
        <w:separator/>
      </w:r>
    </w:p>
  </w:footnote>
  <w:footnote w:type="continuationSeparator" w:id="0">
    <w:p w14:paraId="70F674E1" w14:textId="77777777" w:rsidR="002F333B" w:rsidRDefault="002F3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88D7" w14:textId="77777777" w:rsidR="00970727" w:rsidRPr="00E93FCE" w:rsidRDefault="00000000" w:rsidP="00E93FCE">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רעא 13555-08-24</w:t>
    </w:r>
    <w:r>
      <w:rPr>
        <w:rFonts w:ascii="David" w:hAnsi="David"/>
        <w:color w:val="000000"/>
        <w:sz w:val="22"/>
        <w:szCs w:val="22"/>
        <w:rtl/>
      </w:rPr>
      <w:tab/>
      <w:t xml:space="preserve"> אדם שמסי נ' מוחמד שמסי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0155" w14:textId="77777777" w:rsidR="00970727" w:rsidRPr="00E93FCE" w:rsidRDefault="00000000" w:rsidP="00E93FCE">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86690871"/>
    <w:bookmarkStart w:id="9" w:name="_Hlk186690872"/>
    <w:bookmarkStart w:id="10" w:name="_Hlk186690873"/>
    <w:bookmarkStart w:id="11" w:name="_Hlk186690874"/>
    <w:r>
      <w:rPr>
        <w:rFonts w:ascii="David" w:hAnsi="David"/>
        <w:color w:val="000000"/>
        <w:sz w:val="22"/>
        <w:szCs w:val="22"/>
        <w:rtl/>
      </w:rPr>
      <w:t>רעא 13555-08-24</w:t>
    </w:r>
    <w:r>
      <w:rPr>
        <w:rFonts w:ascii="David" w:hAnsi="David"/>
        <w:color w:val="000000"/>
        <w:sz w:val="22"/>
        <w:szCs w:val="22"/>
        <w:rtl/>
      </w:rPr>
      <w:tab/>
      <w:t xml:space="preserve"> אדם שמסי נ' מוחמד שמסי</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22532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458BDD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D52120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BBC537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9D26FD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081EF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7EF6F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ACAC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CFE5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DD251D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16506D3A"/>
    <w:lvl w:ilvl="0" w:tplc="A4C472B4">
      <w:start w:val="1"/>
      <w:numFmt w:val="decimal"/>
      <w:pStyle w:val="Ruller4"/>
      <w:lvlText w:val="%1."/>
      <w:lvlJc w:val="left"/>
      <w:pPr>
        <w:tabs>
          <w:tab w:val="num" w:pos="907"/>
        </w:tabs>
        <w:ind w:left="0" w:firstLine="0"/>
      </w:pPr>
      <w:rPr>
        <w:color w:val="auto"/>
        <w:lang w:val="en-US" w:bidi="he-IL"/>
      </w:rPr>
    </w:lvl>
    <w:lvl w:ilvl="1" w:tplc="F8022B7C">
      <w:start w:val="1"/>
      <w:numFmt w:val="lowerLetter"/>
      <w:lvlText w:val="%2."/>
      <w:lvlJc w:val="left"/>
      <w:pPr>
        <w:tabs>
          <w:tab w:val="num" w:pos="1440"/>
        </w:tabs>
        <w:ind w:left="1440" w:hanging="360"/>
      </w:pPr>
    </w:lvl>
    <w:lvl w:ilvl="2" w:tplc="91D6469A">
      <w:start w:val="1"/>
      <w:numFmt w:val="lowerRoman"/>
      <w:lvlText w:val="%3."/>
      <w:lvlJc w:val="right"/>
      <w:pPr>
        <w:tabs>
          <w:tab w:val="num" w:pos="2160"/>
        </w:tabs>
        <w:ind w:left="2160" w:hanging="180"/>
      </w:pPr>
    </w:lvl>
    <w:lvl w:ilvl="3" w:tplc="EF147848">
      <w:start w:val="1"/>
      <w:numFmt w:val="decimal"/>
      <w:lvlText w:val="%4."/>
      <w:lvlJc w:val="left"/>
      <w:pPr>
        <w:tabs>
          <w:tab w:val="num" w:pos="2880"/>
        </w:tabs>
        <w:ind w:left="2880" w:hanging="360"/>
      </w:pPr>
    </w:lvl>
    <w:lvl w:ilvl="4" w:tplc="DFEC095A">
      <w:start w:val="1"/>
      <w:numFmt w:val="lowerLetter"/>
      <w:lvlText w:val="%5."/>
      <w:lvlJc w:val="left"/>
      <w:pPr>
        <w:tabs>
          <w:tab w:val="num" w:pos="3600"/>
        </w:tabs>
        <w:ind w:left="3600" w:hanging="360"/>
      </w:pPr>
    </w:lvl>
    <w:lvl w:ilvl="5" w:tplc="431CDE54">
      <w:start w:val="1"/>
      <w:numFmt w:val="lowerRoman"/>
      <w:lvlText w:val="%6."/>
      <w:lvlJc w:val="right"/>
      <w:pPr>
        <w:tabs>
          <w:tab w:val="num" w:pos="4320"/>
        </w:tabs>
        <w:ind w:left="4320" w:hanging="180"/>
      </w:pPr>
    </w:lvl>
    <w:lvl w:ilvl="6" w:tplc="D7D46CC6">
      <w:start w:val="1"/>
      <w:numFmt w:val="decimal"/>
      <w:lvlText w:val="%7."/>
      <w:lvlJc w:val="left"/>
      <w:pPr>
        <w:tabs>
          <w:tab w:val="num" w:pos="5040"/>
        </w:tabs>
        <w:ind w:left="5040" w:hanging="360"/>
      </w:pPr>
    </w:lvl>
    <w:lvl w:ilvl="7" w:tplc="75D28778">
      <w:start w:val="1"/>
      <w:numFmt w:val="lowerLetter"/>
      <w:lvlText w:val="%8."/>
      <w:lvlJc w:val="left"/>
      <w:pPr>
        <w:tabs>
          <w:tab w:val="num" w:pos="5760"/>
        </w:tabs>
        <w:ind w:left="5760" w:hanging="360"/>
      </w:pPr>
    </w:lvl>
    <w:lvl w:ilvl="8" w:tplc="A5F4F12E">
      <w:start w:val="1"/>
      <w:numFmt w:val="lowerRoman"/>
      <w:lvlText w:val="%9."/>
      <w:lvlJc w:val="right"/>
      <w:pPr>
        <w:tabs>
          <w:tab w:val="num" w:pos="6480"/>
        </w:tabs>
        <w:ind w:left="6480" w:hanging="180"/>
      </w:pPr>
    </w:lvl>
  </w:abstractNum>
  <w:num w:numId="1" w16cid:durableId="16708630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5636591">
    <w:abstractNumId w:val="8"/>
  </w:num>
  <w:num w:numId="3" w16cid:durableId="52237251">
    <w:abstractNumId w:val="3"/>
  </w:num>
  <w:num w:numId="4" w16cid:durableId="110786864">
    <w:abstractNumId w:val="2"/>
  </w:num>
  <w:num w:numId="5" w16cid:durableId="55132697">
    <w:abstractNumId w:val="1"/>
  </w:num>
  <w:num w:numId="6" w16cid:durableId="1908030457">
    <w:abstractNumId w:val="0"/>
  </w:num>
  <w:num w:numId="7" w16cid:durableId="2093505682">
    <w:abstractNumId w:val="9"/>
  </w:num>
  <w:num w:numId="8" w16cid:durableId="1655067876">
    <w:abstractNumId w:val="7"/>
  </w:num>
  <w:num w:numId="9" w16cid:durableId="789126676">
    <w:abstractNumId w:val="6"/>
  </w:num>
  <w:num w:numId="10" w16cid:durableId="1874996029">
    <w:abstractNumId w:val="5"/>
  </w:num>
  <w:num w:numId="11" w16cid:durableId="225655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0062"/>
    <w:rsid w:val="0000226B"/>
    <w:rsid w:val="00005C8B"/>
    <w:rsid w:val="00007DE0"/>
    <w:rsid w:val="00030F17"/>
    <w:rsid w:val="000346CC"/>
    <w:rsid w:val="000529D2"/>
    <w:rsid w:val="000564AB"/>
    <w:rsid w:val="00064FBD"/>
    <w:rsid w:val="00082AB2"/>
    <w:rsid w:val="000906FE"/>
    <w:rsid w:val="00096AF7"/>
    <w:rsid w:val="000B344B"/>
    <w:rsid w:val="000C3411"/>
    <w:rsid w:val="000C3B0F"/>
    <w:rsid w:val="000C3B60"/>
    <w:rsid w:val="000E0DD2"/>
    <w:rsid w:val="000E12EA"/>
    <w:rsid w:val="000E3AF1"/>
    <w:rsid w:val="000F0BC8"/>
    <w:rsid w:val="000F0DD6"/>
    <w:rsid w:val="000F0FF1"/>
    <w:rsid w:val="00103959"/>
    <w:rsid w:val="00103DDE"/>
    <w:rsid w:val="00105E0F"/>
    <w:rsid w:val="00107E6D"/>
    <w:rsid w:val="0011194C"/>
    <w:rsid w:val="0011424C"/>
    <w:rsid w:val="001173C6"/>
    <w:rsid w:val="0013540A"/>
    <w:rsid w:val="001354CD"/>
    <w:rsid w:val="001367BC"/>
    <w:rsid w:val="00144D2A"/>
    <w:rsid w:val="00145D50"/>
    <w:rsid w:val="0014653E"/>
    <w:rsid w:val="00146EF0"/>
    <w:rsid w:val="00157BE1"/>
    <w:rsid w:val="00180519"/>
    <w:rsid w:val="00185C38"/>
    <w:rsid w:val="00191C82"/>
    <w:rsid w:val="001B740F"/>
    <w:rsid w:val="001C4003"/>
    <w:rsid w:val="001D27E2"/>
    <w:rsid w:val="001D4DBF"/>
    <w:rsid w:val="001E75CA"/>
    <w:rsid w:val="001F4726"/>
    <w:rsid w:val="0022135A"/>
    <w:rsid w:val="002265FF"/>
    <w:rsid w:val="0022791C"/>
    <w:rsid w:val="00235B97"/>
    <w:rsid w:val="00270C62"/>
    <w:rsid w:val="00271B56"/>
    <w:rsid w:val="002A1B48"/>
    <w:rsid w:val="002C344E"/>
    <w:rsid w:val="002E75E9"/>
    <w:rsid w:val="002F0B1E"/>
    <w:rsid w:val="002F333B"/>
    <w:rsid w:val="00307A6A"/>
    <w:rsid w:val="00307C40"/>
    <w:rsid w:val="00320433"/>
    <w:rsid w:val="003230C7"/>
    <w:rsid w:val="00327E50"/>
    <w:rsid w:val="0033597A"/>
    <w:rsid w:val="00343D89"/>
    <w:rsid w:val="00362612"/>
    <w:rsid w:val="0036743F"/>
    <w:rsid w:val="00367B06"/>
    <w:rsid w:val="003715DD"/>
    <w:rsid w:val="003823E0"/>
    <w:rsid w:val="003A4521"/>
    <w:rsid w:val="003B3E8D"/>
    <w:rsid w:val="003D1C8C"/>
    <w:rsid w:val="003F07DC"/>
    <w:rsid w:val="0040096C"/>
    <w:rsid w:val="00414F1F"/>
    <w:rsid w:val="0043125D"/>
    <w:rsid w:val="0043502B"/>
    <w:rsid w:val="004443AC"/>
    <w:rsid w:val="00444748"/>
    <w:rsid w:val="00444B02"/>
    <w:rsid w:val="00451E28"/>
    <w:rsid w:val="00462C62"/>
    <w:rsid w:val="00465D36"/>
    <w:rsid w:val="00475396"/>
    <w:rsid w:val="00486B47"/>
    <w:rsid w:val="004C17EE"/>
    <w:rsid w:val="004C4BDF"/>
    <w:rsid w:val="004D1187"/>
    <w:rsid w:val="004D3AA0"/>
    <w:rsid w:val="004E1987"/>
    <w:rsid w:val="004E2E15"/>
    <w:rsid w:val="004E6E3C"/>
    <w:rsid w:val="00511B90"/>
    <w:rsid w:val="00520898"/>
    <w:rsid w:val="005208FC"/>
    <w:rsid w:val="00523621"/>
    <w:rsid w:val="00524986"/>
    <w:rsid w:val="005268F6"/>
    <w:rsid w:val="0053128A"/>
    <w:rsid w:val="00534284"/>
    <w:rsid w:val="00542400"/>
    <w:rsid w:val="00547DB7"/>
    <w:rsid w:val="005B6711"/>
    <w:rsid w:val="005C0627"/>
    <w:rsid w:val="005F4F09"/>
    <w:rsid w:val="0061431B"/>
    <w:rsid w:val="00622BAA"/>
    <w:rsid w:val="006306CF"/>
    <w:rsid w:val="006318D8"/>
    <w:rsid w:val="00644E9A"/>
    <w:rsid w:val="00671BD5"/>
    <w:rsid w:val="006805C1"/>
    <w:rsid w:val="00686C21"/>
    <w:rsid w:val="006931C1"/>
    <w:rsid w:val="00694556"/>
    <w:rsid w:val="006A4F73"/>
    <w:rsid w:val="006A6DD5"/>
    <w:rsid w:val="006B7258"/>
    <w:rsid w:val="006C30C5"/>
    <w:rsid w:val="006D3B31"/>
    <w:rsid w:val="006E0D96"/>
    <w:rsid w:val="006E1A53"/>
    <w:rsid w:val="006F56E6"/>
    <w:rsid w:val="00704EDA"/>
    <w:rsid w:val="00721122"/>
    <w:rsid w:val="007263C9"/>
    <w:rsid w:val="00734689"/>
    <w:rsid w:val="00753019"/>
    <w:rsid w:val="00754801"/>
    <w:rsid w:val="0076131E"/>
    <w:rsid w:val="00761441"/>
    <w:rsid w:val="0077786E"/>
    <w:rsid w:val="00795365"/>
    <w:rsid w:val="007A351D"/>
    <w:rsid w:val="007B7765"/>
    <w:rsid w:val="007C5BDD"/>
    <w:rsid w:val="007C7E7F"/>
    <w:rsid w:val="007D45E3"/>
    <w:rsid w:val="007E6115"/>
    <w:rsid w:val="007F4609"/>
    <w:rsid w:val="00814468"/>
    <w:rsid w:val="008176A1"/>
    <w:rsid w:val="00820005"/>
    <w:rsid w:val="00841158"/>
    <w:rsid w:val="00844318"/>
    <w:rsid w:val="00851257"/>
    <w:rsid w:val="00863F5D"/>
    <w:rsid w:val="00870890"/>
    <w:rsid w:val="00873602"/>
    <w:rsid w:val="00875D12"/>
    <w:rsid w:val="00877B48"/>
    <w:rsid w:val="0088479D"/>
    <w:rsid w:val="00891F42"/>
    <w:rsid w:val="00896889"/>
    <w:rsid w:val="008A59EE"/>
    <w:rsid w:val="008A6E97"/>
    <w:rsid w:val="008B2575"/>
    <w:rsid w:val="008C5714"/>
    <w:rsid w:val="008D10B2"/>
    <w:rsid w:val="00903896"/>
    <w:rsid w:val="00906F3D"/>
    <w:rsid w:val="0094424E"/>
    <w:rsid w:val="00952198"/>
    <w:rsid w:val="00955642"/>
    <w:rsid w:val="009622DF"/>
    <w:rsid w:val="0096493F"/>
    <w:rsid w:val="00967DFF"/>
    <w:rsid w:val="00970727"/>
    <w:rsid w:val="00994341"/>
    <w:rsid w:val="009A7C4C"/>
    <w:rsid w:val="009B7241"/>
    <w:rsid w:val="009D1A48"/>
    <w:rsid w:val="009D317C"/>
    <w:rsid w:val="009D7C7A"/>
    <w:rsid w:val="009E1CE7"/>
    <w:rsid w:val="009E4EA5"/>
    <w:rsid w:val="009F164B"/>
    <w:rsid w:val="009F323C"/>
    <w:rsid w:val="00A3392B"/>
    <w:rsid w:val="00A81988"/>
    <w:rsid w:val="00A85E34"/>
    <w:rsid w:val="00A87DF6"/>
    <w:rsid w:val="00A9144F"/>
    <w:rsid w:val="00A94B64"/>
    <w:rsid w:val="00AA3229"/>
    <w:rsid w:val="00AA5DB1"/>
    <w:rsid w:val="00AA690A"/>
    <w:rsid w:val="00AA7596"/>
    <w:rsid w:val="00AB5E52"/>
    <w:rsid w:val="00AC3B02"/>
    <w:rsid w:val="00AC3B7B"/>
    <w:rsid w:val="00AC4B58"/>
    <w:rsid w:val="00AC5209"/>
    <w:rsid w:val="00AE0E34"/>
    <w:rsid w:val="00AE729E"/>
    <w:rsid w:val="00AE7752"/>
    <w:rsid w:val="00AF7FDA"/>
    <w:rsid w:val="00B5356E"/>
    <w:rsid w:val="00B62AD7"/>
    <w:rsid w:val="00B66717"/>
    <w:rsid w:val="00B77019"/>
    <w:rsid w:val="00B809AD"/>
    <w:rsid w:val="00B80CBD"/>
    <w:rsid w:val="00B8115E"/>
    <w:rsid w:val="00B86096"/>
    <w:rsid w:val="00B87242"/>
    <w:rsid w:val="00B95D6E"/>
    <w:rsid w:val="00B964D9"/>
    <w:rsid w:val="00BA0A7C"/>
    <w:rsid w:val="00BA20CF"/>
    <w:rsid w:val="00BA517C"/>
    <w:rsid w:val="00BB3D05"/>
    <w:rsid w:val="00BB73BE"/>
    <w:rsid w:val="00BC2D89"/>
    <w:rsid w:val="00BD6531"/>
    <w:rsid w:val="00BE05B2"/>
    <w:rsid w:val="00BF1908"/>
    <w:rsid w:val="00BF35DE"/>
    <w:rsid w:val="00C22D93"/>
    <w:rsid w:val="00C23458"/>
    <w:rsid w:val="00C31120"/>
    <w:rsid w:val="00C34482"/>
    <w:rsid w:val="00C43648"/>
    <w:rsid w:val="00C50A9F"/>
    <w:rsid w:val="00C5786B"/>
    <w:rsid w:val="00C642FA"/>
    <w:rsid w:val="00C9217F"/>
    <w:rsid w:val="00C95DBB"/>
    <w:rsid w:val="00CB508D"/>
    <w:rsid w:val="00CC7622"/>
    <w:rsid w:val="00CD516B"/>
    <w:rsid w:val="00CD608F"/>
    <w:rsid w:val="00CE0084"/>
    <w:rsid w:val="00CF403E"/>
    <w:rsid w:val="00CF4A10"/>
    <w:rsid w:val="00CF6BB7"/>
    <w:rsid w:val="00D04AA4"/>
    <w:rsid w:val="00D27982"/>
    <w:rsid w:val="00D33B86"/>
    <w:rsid w:val="00D44968"/>
    <w:rsid w:val="00D53924"/>
    <w:rsid w:val="00D55D0C"/>
    <w:rsid w:val="00D96D8C"/>
    <w:rsid w:val="00DA6649"/>
    <w:rsid w:val="00DC1259"/>
    <w:rsid w:val="00DC1BD2"/>
    <w:rsid w:val="00DC2571"/>
    <w:rsid w:val="00DC487C"/>
    <w:rsid w:val="00DD4335"/>
    <w:rsid w:val="00DE1E7D"/>
    <w:rsid w:val="00DE285C"/>
    <w:rsid w:val="00DE2CB7"/>
    <w:rsid w:val="00DE6BF6"/>
    <w:rsid w:val="00E1068A"/>
    <w:rsid w:val="00E25884"/>
    <w:rsid w:val="00E25B55"/>
    <w:rsid w:val="00E31C2B"/>
    <w:rsid w:val="00E47A7C"/>
    <w:rsid w:val="00E5426A"/>
    <w:rsid w:val="00E54642"/>
    <w:rsid w:val="00E80CBE"/>
    <w:rsid w:val="00E9269D"/>
    <w:rsid w:val="00E93FCE"/>
    <w:rsid w:val="00E962E3"/>
    <w:rsid w:val="00EB6C79"/>
    <w:rsid w:val="00EC37E9"/>
    <w:rsid w:val="00ED6586"/>
    <w:rsid w:val="00F038D8"/>
    <w:rsid w:val="00F06995"/>
    <w:rsid w:val="00F07B5C"/>
    <w:rsid w:val="00F07C70"/>
    <w:rsid w:val="00F10740"/>
    <w:rsid w:val="00F12D66"/>
    <w:rsid w:val="00F13623"/>
    <w:rsid w:val="00F1412F"/>
    <w:rsid w:val="00F14E68"/>
    <w:rsid w:val="00F44D1D"/>
    <w:rsid w:val="00F80577"/>
    <w:rsid w:val="00F84B6D"/>
    <w:rsid w:val="00F856E6"/>
    <w:rsid w:val="00F92B56"/>
    <w:rsid w:val="00F957E8"/>
    <w:rsid w:val="00FA311A"/>
    <w:rsid w:val="00FA5FDA"/>
    <w:rsid w:val="00FA7FD0"/>
    <w:rsid w:val="00FB6AB3"/>
    <w:rsid w:val="00FD1419"/>
    <w:rsid w:val="00FD79E4"/>
    <w:rsid w:val="00FE09EC"/>
    <w:rsid w:val="00FE2894"/>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4201"/>
  <w15:docId w15:val="{C4A4B8FC-4FBB-41D2-AC9C-B15204BE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C95DBB"/>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C95DBB"/>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C95DBB"/>
    <w:pPr>
      <w:keepNext/>
      <w:keepLines/>
      <w:spacing w:before="40"/>
      <w:outlineLvl w:val="2"/>
    </w:pPr>
    <w:rPr>
      <w:rFonts w:ascii="Cambria" w:hAnsi="Cambria" w:cs="Times New Roman"/>
      <w:color w:val="243F60"/>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C95DBB"/>
    <w:pPr>
      <w:keepNext/>
      <w:keepLines/>
      <w:spacing w:before="40"/>
      <w:outlineLvl w:val="4"/>
    </w:pPr>
    <w:rPr>
      <w:rFonts w:ascii="Cambria" w:hAnsi="Cambria" w:cs="Times New Roman"/>
      <w:color w:val="365F91"/>
    </w:rPr>
  </w:style>
  <w:style w:type="paragraph" w:styleId="6">
    <w:name w:val="heading 6"/>
    <w:basedOn w:val="a1"/>
    <w:next w:val="a1"/>
    <w:link w:val="60"/>
    <w:qFormat/>
    <w:rsid w:val="00C95DBB"/>
    <w:pPr>
      <w:keepNext/>
      <w:keepLines/>
      <w:spacing w:before="40"/>
      <w:outlineLvl w:val="5"/>
    </w:pPr>
    <w:rPr>
      <w:rFonts w:ascii="Cambria" w:hAnsi="Cambria" w:cs="Times New Roman"/>
      <w:color w:val="243F60"/>
    </w:rPr>
  </w:style>
  <w:style w:type="paragraph" w:styleId="7">
    <w:name w:val="heading 7"/>
    <w:basedOn w:val="a1"/>
    <w:next w:val="a1"/>
    <w:link w:val="70"/>
    <w:qFormat/>
    <w:rsid w:val="00C95DBB"/>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C95DBB"/>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C95DBB"/>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link w:val="a8"/>
    <w:uiPriority w:val="99"/>
    <w:rsid w:val="00C64423"/>
    <w:pPr>
      <w:tabs>
        <w:tab w:val="center" w:pos="4153"/>
        <w:tab w:val="right" w:pos="8306"/>
      </w:tabs>
    </w:pPr>
  </w:style>
  <w:style w:type="paragraph" w:customStyle="1" w:styleId="a9">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a">
    <w:name w:val="annotation text"/>
    <w:basedOn w:val="a1"/>
    <w:link w:val="ab"/>
    <w:rsid w:val="00C64423"/>
    <w:rPr>
      <w:rFonts w:cs="Times New Roman"/>
    </w:rPr>
  </w:style>
  <w:style w:type="character" w:styleId="ac">
    <w:name w:val="annotation reference"/>
    <w:rsid w:val="00C64423"/>
    <w:rPr>
      <w:noProof w:val="0"/>
      <w:sz w:val="16"/>
      <w:szCs w:val="16"/>
    </w:rPr>
  </w:style>
  <w:style w:type="paragraph" w:styleId="ad">
    <w:name w:val="Balloon Text"/>
    <w:basedOn w:val="a1"/>
    <w:rsid w:val="00C64423"/>
    <w:rPr>
      <w:rFonts w:ascii="Tahoma" w:hAnsi="Tahoma" w:cs="Tahoma"/>
      <w:sz w:val="16"/>
      <w:szCs w:val="16"/>
    </w:rPr>
  </w:style>
  <w:style w:type="table" w:styleId="ae">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rsid w:val="00C64423"/>
    <w:rPr>
      <w:noProof w:val="0"/>
    </w:rPr>
  </w:style>
  <w:style w:type="character" w:styleId="af0">
    <w:name w:val="page number"/>
    <w:rsid w:val="00C64423"/>
    <w:rPr>
      <w:noProof w:val="0"/>
    </w:rPr>
  </w:style>
  <w:style w:type="table" w:customStyle="1" w:styleId="11">
    <w:name w:val="טבלת רשת1"/>
    <w:basedOn w:val="a3"/>
    <w:next w:val="ae"/>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6">
    <w:name w:val="כותרת עליונה תו"/>
    <w:link w:val="a5"/>
    <w:uiPriority w:val="99"/>
    <w:rsid w:val="001D27E2"/>
    <w:rPr>
      <w:rFonts w:cs="David"/>
      <w:noProof w:val="0"/>
      <w:sz w:val="24"/>
      <w:szCs w:val="24"/>
    </w:rPr>
  </w:style>
  <w:style w:type="character" w:customStyle="1" w:styleId="a8">
    <w:name w:val="כותרת תחתונה תו"/>
    <w:link w:val="a7"/>
    <w:uiPriority w:val="99"/>
    <w:rsid w:val="001D27E2"/>
    <w:rPr>
      <w:rFonts w:cs="David"/>
      <w:noProof w:val="0"/>
      <w:sz w:val="24"/>
      <w:szCs w:val="24"/>
    </w:rPr>
  </w:style>
  <w:style w:type="paragraph" w:customStyle="1" w:styleId="Ruller40">
    <w:name w:val="Ruller4"/>
    <w:basedOn w:val="a1"/>
    <w:rsid w:val="00C95DBB"/>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5">
    <w:name w:val="Ruller5"/>
    <w:basedOn w:val="a1"/>
    <w:rsid w:val="00C95DBB"/>
    <w:pPr>
      <w:overflowPunct w:val="0"/>
      <w:autoSpaceDE w:val="0"/>
      <w:autoSpaceDN w:val="0"/>
      <w:adjustRightInd w:val="0"/>
      <w:ind w:left="1644" w:right="1276"/>
      <w:jc w:val="both"/>
    </w:pPr>
    <w:rPr>
      <w:rFonts w:ascii="Arial TUR" w:hAnsi="Arial TUR" w:cs="FrankRuehl"/>
      <w:spacing w:val="10"/>
      <w:sz w:val="22"/>
      <w:szCs w:val="28"/>
    </w:rPr>
  </w:style>
  <w:style w:type="paragraph" w:customStyle="1" w:styleId="Ruller4">
    <w:name w:val="Ruller 4 ממוספר"/>
    <w:basedOn w:val="Ruller40"/>
    <w:next w:val="Ruller40"/>
    <w:rsid w:val="00C95DBB"/>
    <w:pPr>
      <w:numPr>
        <w:numId w:val="1"/>
      </w:numPr>
    </w:pPr>
    <w:rPr>
      <w:rFonts w:ascii="Garamond" w:hAnsi="Garamond"/>
      <w:sz w:val="24"/>
    </w:rPr>
  </w:style>
  <w:style w:type="character" w:styleId="FollowedHyperlink">
    <w:name w:val="FollowedHyperlink"/>
    <w:rsid w:val="00C95DBB"/>
    <w:rPr>
      <w:noProof w:val="0"/>
      <w:color w:val="800080"/>
      <w:u w:val="single"/>
    </w:rPr>
  </w:style>
  <w:style w:type="character" w:styleId="HTMLCite">
    <w:name w:val="HTML Cite"/>
    <w:rsid w:val="00C95DBB"/>
    <w:rPr>
      <w:i/>
      <w:iCs/>
      <w:noProof w:val="0"/>
    </w:rPr>
  </w:style>
  <w:style w:type="character" w:styleId="HTMLCode">
    <w:name w:val="HTML Code"/>
    <w:rsid w:val="00C95DBB"/>
    <w:rPr>
      <w:rFonts w:ascii="Consolas" w:hAnsi="Consolas"/>
      <w:noProof w:val="0"/>
      <w:sz w:val="20"/>
      <w:szCs w:val="20"/>
    </w:rPr>
  </w:style>
  <w:style w:type="character" w:styleId="HTMLDefinition">
    <w:name w:val="HTML Definition"/>
    <w:rsid w:val="00C95DBB"/>
    <w:rPr>
      <w:i/>
      <w:iCs/>
      <w:noProof w:val="0"/>
    </w:rPr>
  </w:style>
  <w:style w:type="character" w:styleId="HTMLVariable">
    <w:name w:val="HTML Variable"/>
    <w:rsid w:val="00C95DBB"/>
    <w:rPr>
      <w:i/>
      <w:iCs/>
      <w:noProof w:val="0"/>
    </w:rPr>
  </w:style>
  <w:style w:type="paragraph" w:styleId="HTML">
    <w:name w:val="HTML Preformatted"/>
    <w:basedOn w:val="a1"/>
    <w:link w:val="HTML0"/>
    <w:rsid w:val="00C95DBB"/>
    <w:rPr>
      <w:rFonts w:ascii="Consolas" w:hAnsi="Consolas"/>
      <w:sz w:val="20"/>
      <w:szCs w:val="20"/>
    </w:rPr>
  </w:style>
  <w:style w:type="character" w:customStyle="1" w:styleId="HTML0">
    <w:name w:val="HTML מעוצב מראש תו"/>
    <w:link w:val="HTML"/>
    <w:semiHidden/>
    <w:rsid w:val="00C95DBB"/>
    <w:rPr>
      <w:rFonts w:ascii="Consolas" w:hAnsi="Consolas" w:cs="David"/>
      <w:noProof w:val="0"/>
    </w:rPr>
  </w:style>
  <w:style w:type="character" w:styleId="Hyperlink">
    <w:name w:val="Hyperlink"/>
    <w:rsid w:val="00C95DBB"/>
    <w:rPr>
      <w:noProof w:val="0"/>
      <w:color w:val="0000FF"/>
      <w:u w:val="single"/>
    </w:rPr>
  </w:style>
  <w:style w:type="paragraph" w:styleId="Index1">
    <w:name w:val="index 1"/>
    <w:basedOn w:val="a1"/>
    <w:next w:val="a1"/>
    <w:autoRedefine/>
    <w:rsid w:val="00C95DBB"/>
    <w:pPr>
      <w:ind w:left="240" w:hanging="240"/>
    </w:pPr>
  </w:style>
  <w:style w:type="paragraph" w:styleId="Index2">
    <w:name w:val="index 2"/>
    <w:basedOn w:val="a1"/>
    <w:next w:val="a1"/>
    <w:autoRedefine/>
    <w:rsid w:val="00C95DBB"/>
    <w:pPr>
      <w:ind w:left="480" w:hanging="240"/>
    </w:pPr>
  </w:style>
  <w:style w:type="paragraph" w:styleId="Index3">
    <w:name w:val="index 3"/>
    <w:basedOn w:val="a1"/>
    <w:next w:val="a1"/>
    <w:autoRedefine/>
    <w:rsid w:val="00C95DBB"/>
    <w:pPr>
      <w:ind w:left="720" w:hanging="240"/>
    </w:pPr>
  </w:style>
  <w:style w:type="paragraph" w:styleId="Index4">
    <w:name w:val="index 4"/>
    <w:basedOn w:val="a1"/>
    <w:next w:val="a1"/>
    <w:autoRedefine/>
    <w:rsid w:val="00C95DBB"/>
    <w:pPr>
      <w:ind w:left="960" w:hanging="240"/>
    </w:pPr>
  </w:style>
  <w:style w:type="paragraph" w:styleId="Index5">
    <w:name w:val="index 5"/>
    <w:basedOn w:val="a1"/>
    <w:next w:val="a1"/>
    <w:autoRedefine/>
    <w:rsid w:val="00C95DBB"/>
    <w:pPr>
      <w:ind w:left="1200" w:hanging="240"/>
    </w:pPr>
  </w:style>
  <w:style w:type="paragraph" w:styleId="Index6">
    <w:name w:val="index 6"/>
    <w:basedOn w:val="a1"/>
    <w:next w:val="a1"/>
    <w:autoRedefine/>
    <w:rsid w:val="00C95DBB"/>
    <w:pPr>
      <w:ind w:left="1440" w:hanging="240"/>
    </w:pPr>
  </w:style>
  <w:style w:type="paragraph" w:styleId="Index7">
    <w:name w:val="index 7"/>
    <w:basedOn w:val="a1"/>
    <w:next w:val="a1"/>
    <w:autoRedefine/>
    <w:rsid w:val="00C95DBB"/>
    <w:pPr>
      <w:ind w:left="1680" w:hanging="240"/>
    </w:pPr>
  </w:style>
  <w:style w:type="paragraph" w:styleId="Index8">
    <w:name w:val="index 8"/>
    <w:basedOn w:val="a1"/>
    <w:next w:val="a1"/>
    <w:autoRedefine/>
    <w:rsid w:val="00C95DBB"/>
    <w:pPr>
      <w:ind w:left="1920" w:hanging="240"/>
    </w:pPr>
  </w:style>
  <w:style w:type="paragraph" w:styleId="Index9">
    <w:name w:val="index 9"/>
    <w:basedOn w:val="a1"/>
    <w:next w:val="a1"/>
    <w:autoRedefine/>
    <w:rsid w:val="00C95DBB"/>
    <w:pPr>
      <w:ind w:left="2160" w:hanging="240"/>
    </w:pPr>
  </w:style>
  <w:style w:type="paragraph" w:styleId="NormalWeb">
    <w:name w:val="Normal (Web)"/>
    <w:basedOn w:val="a1"/>
    <w:rsid w:val="00C95DBB"/>
    <w:rPr>
      <w:rFonts w:cs="Times New Roman"/>
    </w:rPr>
  </w:style>
  <w:style w:type="paragraph" w:styleId="TOC1">
    <w:name w:val="toc 1"/>
    <w:basedOn w:val="a1"/>
    <w:next w:val="a1"/>
    <w:autoRedefine/>
    <w:rsid w:val="00C95DBB"/>
    <w:pPr>
      <w:spacing w:after="100"/>
    </w:pPr>
  </w:style>
  <w:style w:type="paragraph" w:styleId="TOC2">
    <w:name w:val="toc 2"/>
    <w:basedOn w:val="a1"/>
    <w:next w:val="a1"/>
    <w:autoRedefine/>
    <w:rsid w:val="00C95DBB"/>
    <w:pPr>
      <w:spacing w:after="100"/>
      <w:ind w:left="240"/>
    </w:pPr>
  </w:style>
  <w:style w:type="paragraph" w:styleId="TOC3">
    <w:name w:val="toc 3"/>
    <w:basedOn w:val="a1"/>
    <w:next w:val="a1"/>
    <w:autoRedefine/>
    <w:rsid w:val="00C95DBB"/>
    <w:pPr>
      <w:spacing w:after="100"/>
      <w:ind w:left="480"/>
    </w:pPr>
  </w:style>
  <w:style w:type="paragraph" w:styleId="TOC4">
    <w:name w:val="toc 4"/>
    <w:basedOn w:val="a1"/>
    <w:next w:val="a1"/>
    <w:autoRedefine/>
    <w:rsid w:val="00C95DBB"/>
    <w:pPr>
      <w:spacing w:after="100"/>
      <w:ind w:left="720"/>
    </w:pPr>
  </w:style>
  <w:style w:type="paragraph" w:styleId="TOC5">
    <w:name w:val="toc 5"/>
    <w:basedOn w:val="a1"/>
    <w:next w:val="a1"/>
    <w:autoRedefine/>
    <w:rsid w:val="00C95DBB"/>
    <w:pPr>
      <w:spacing w:after="100"/>
      <w:ind w:left="960"/>
    </w:pPr>
  </w:style>
  <w:style w:type="paragraph" w:styleId="TOC6">
    <w:name w:val="toc 6"/>
    <w:basedOn w:val="a1"/>
    <w:next w:val="a1"/>
    <w:autoRedefine/>
    <w:rsid w:val="00C95DBB"/>
    <w:pPr>
      <w:spacing w:after="100"/>
      <w:ind w:left="1200"/>
    </w:pPr>
  </w:style>
  <w:style w:type="paragraph" w:styleId="TOC7">
    <w:name w:val="toc 7"/>
    <w:basedOn w:val="a1"/>
    <w:next w:val="a1"/>
    <w:autoRedefine/>
    <w:rsid w:val="00C95DBB"/>
    <w:pPr>
      <w:spacing w:after="100"/>
      <w:ind w:left="1440"/>
    </w:pPr>
  </w:style>
  <w:style w:type="paragraph" w:styleId="TOC8">
    <w:name w:val="toc 8"/>
    <w:basedOn w:val="a1"/>
    <w:next w:val="a1"/>
    <w:autoRedefine/>
    <w:rsid w:val="00C95DBB"/>
    <w:pPr>
      <w:spacing w:after="100"/>
      <w:ind w:left="1680"/>
    </w:pPr>
  </w:style>
  <w:style w:type="paragraph" w:styleId="TOC9">
    <w:name w:val="toc 9"/>
    <w:basedOn w:val="a1"/>
    <w:next w:val="a1"/>
    <w:autoRedefine/>
    <w:rsid w:val="00C95DBB"/>
    <w:pPr>
      <w:spacing w:after="100"/>
      <w:ind w:left="1920"/>
    </w:pPr>
  </w:style>
  <w:style w:type="table" w:styleId="-1">
    <w:name w:val="Table 3D effects 1"/>
    <w:basedOn w:val="a3"/>
    <w:rsid w:val="00C95DBB"/>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C95DBB"/>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C95DBB"/>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3">
    <w:name w:val="ביבליוגרפיה1"/>
    <w:basedOn w:val="a1"/>
    <w:next w:val="a1"/>
    <w:uiPriority w:val="37"/>
    <w:semiHidden/>
    <w:unhideWhenUsed/>
    <w:rsid w:val="00C95DBB"/>
  </w:style>
  <w:style w:type="paragraph" w:styleId="af1">
    <w:name w:val="Salutation"/>
    <w:basedOn w:val="a1"/>
    <w:next w:val="a1"/>
    <w:link w:val="af2"/>
    <w:rsid w:val="00C95DBB"/>
  </w:style>
  <w:style w:type="character" w:customStyle="1" w:styleId="af2">
    <w:name w:val="ברכה תו"/>
    <w:link w:val="af1"/>
    <w:rsid w:val="00C95DBB"/>
    <w:rPr>
      <w:rFonts w:cs="David"/>
      <w:noProof w:val="0"/>
      <w:sz w:val="24"/>
      <w:szCs w:val="24"/>
    </w:rPr>
  </w:style>
  <w:style w:type="paragraph" w:styleId="af3">
    <w:name w:val="Body Text"/>
    <w:basedOn w:val="a1"/>
    <w:link w:val="af4"/>
    <w:rsid w:val="00C95DBB"/>
    <w:pPr>
      <w:spacing w:after="120"/>
    </w:pPr>
  </w:style>
  <w:style w:type="character" w:customStyle="1" w:styleId="af4">
    <w:name w:val="גוף טקסט תו"/>
    <w:link w:val="af3"/>
    <w:semiHidden/>
    <w:rsid w:val="00C95DBB"/>
    <w:rPr>
      <w:rFonts w:cs="David"/>
      <w:noProof w:val="0"/>
      <w:sz w:val="24"/>
      <w:szCs w:val="24"/>
    </w:rPr>
  </w:style>
  <w:style w:type="paragraph" w:styleId="23">
    <w:name w:val="Body Text 2"/>
    <w:basedOn w:val="a1"/>
    <w:link w:val="24"/>
    <w:rsid w:val="00C95DBB"/>
    <w:pPr>
      <w:spacing w:after="120" w:line="480" w:lineRule="auto"/>
    </w:pPr>
  </w:style>
  <w:style w:type="character" w:customStyle="1" w:styleId="24">
    <w:name w:val="גוף טקסט 2 תו"/>
    <w:link w:val="23"/>
    <w:semiHidden/>
    <w:rsid w:val="00C95DBB"/>
    <w:rPr>
      <w:rFonts w:cs="David"/>
      <w:noProof w:val="0"/>
      <w:sz w:val="24"/>
      <w:szCs w:val="24"/>
    </w:rPr>
  </w:style>
  <w:style w:type="paragraph" w:styleId="33">
    <w:name w:val="Body Text 3"/>
    <w:basedOn w:val="a1"/>
    <w:link w:val="34"/>
    <w:rsid w:val="00C95DBB"/>
    <w:pPr>
      <w:spacing w:after="120"/>
    </w:pPr>
    <w:rPr>
      <w:sz w:val="16"/>
      <w:szCs w:val="16"/>
    </w:rPr>
  </w:style>
  <w:style w:type="character" w:customStyle="1" w:styleId="34">
    <w:name w:val="גוף טקסט 3 תו"/>
    <w:link w:val="33"/>
    <w:semiHidden/>
    <w:rsid w:val="00C95DBB"/>
    <w:rPr>
      <w:rFonts w:cs="David"/>
      <w:noProof w:val="0"/>
      <w:sz w:val="16"/>
      <w:szCs w:val="16"/>
    </w:rPr>
  </w:style>
  <w:style w:type="character" w:styleId="HTML1">
    <w:name w:val="HTML Sample"/>
    <w:rsid w:val="00C95DBB"/>
    <w:rPr>
      <w:rFonts w:ascii="Consolas" w:hAnsi="Consolas"/>
      <w:noProof w:val="0"/>
      <w:sz w:val="24"/>
      <w:szCs w:val="24"/>
    </w:rPr>
  </w:style>
  <w:style w:type="character" w:styleId="af5">
    <w:name w:val="Emphasis"/>
    <w:qFormat/>
    <w:rsid w:val="00C95DBB"/>
    <w:rPr>
      <w:i/>
      <w:iCs/>
      <w:noProof w:val="0"/>
    </w:rPr>
  </w:style>
  <w:style w:type="character" w:customStyle="1" w:styleId="14">
    <w:name w:val="הדגשה חזקה1"/>
    <w:uiPriority w:val="21"/>
    <w:qFormat/>
    <w:rsid w:val="00C95DBB"/>
    <w:rPr>
      <w:i/>
      <w:iCs/>
      <w:noProof w:val="0"/>
      <w:color w:val="4F81BD"/>
    </w:rPr>
  </w:style>
  <w:style w:type="character" w:customStyle="1" w:styleId="15">
    <w:name w:val="הדגשה עדינה1"/>
    <w:uiPriority w:val="19"/>
    <w:qFormat/>
    <w:rsid w:val="00C95DBB"/>
    <w:rPr>
      <w:i/>
      <w:iCs/>
      <w:noProof w:val="0"/>
      <w:color w:val="404040"/>
    </w:rPr>
  </w:style>
  <w:style w:type="paragraph" w:styleId="af6">
    <w:name w:val="List Continue"/>
    <w:basedOn w:val="a1"/>
    <w:rsid w:val="00C95DBB"/>
    <w:pPr>
      <w:spacing w:after="120"/>
      <w:ind w:left="283"/>
      <w:contextualSpacing/>
    </w:pPr>
  </w:style>
  <w:style w:type="paragraph" w:styleId="25">
    <w:name w:val="List Continue 2"/>
    <w:basedOn w:val="a1"/>
    <w:rsid w:val="00C95DBB"/>
    <w:pPr>
      <w:spacing w:after="120"/>
      <w:ind w:left="566"/>
      <w:contextualSpacing/>
    </w:pPr>
  </w:style>
  <w:style w:type="paragraph" w:styleId="35">
    <w:name w:val="List Continue 3"/>
    <w:basedOn w:val="a1"/>
    <w:rsid w:val="00C95DBB"/>
    <w:pPr>
      <w:spacing w:after="120"/>
      <w:ind w:left="849"/>
      <w:contextualSpacing/>
    </w:pPr>
  </w:style>
  <w:style w:type="paragraph" w:styleId="42">
    <w:name w:val="List Continue 4"/>
    <w:basedOn w:val="a1"/>
    <w:rsid w:val="00C95DBB"/>
    <w:pPr>
      <w:spacing w:after="120"/>
      <w:ind w:left="1132"/>
      <w:contextualSpacing/>
    </w:pPr>
  </w:style>
  <w:style w:type="paragraph" w:styleId="53">
    <w:name w:val="List Continue 5"/>
    <w:basedOn w:val="a1"/>
    <w:rsid w:val="00C95DBB"/>
    <w:pPr>
      <w:spacing w:after="120"/>
      <w:ind w:left="1415"/>
      <w:contextualSpacing/>
    </w:pPr>
  </w:style>
  <w:style w:type="character" w:customStyle="1" w:styleId="16">
    <w:name w:val="הפניה חזקה1"/>
    <w:uiPriority w:val="32"/>
    <w:qFormat/>
    <w:rsid w:val="00C95DBB"/>
    <w:rPr>
      <w:b/>
      <w:bCs/>
      <w:smallCaps/>
      <w:noProof w:val="0"/>
      <w:color w:val="4F81BD"/>
      <w:spacing w:val="5"/>
    </w:rPr>
  </w:style>
  <w:style w:type="character" w:styleId="af7">
    <w:name w:val="endnote reference"/>
    <w:rsid w:val="00C95DBB"/>
    <w:rPr>
      <w:noProof w:val="0"/>
      <w:vertAlign w:val="superscript"/>
    </w:rPr>
  </w:style>
  <w:style w:type="character" w:styleId="af8">
    <w:name w:val="footnote reference"/>
    <w:rsid w:val="00C95DBB"/>
    <w:rPr>
      <w:noProof w:val="0"/>
      <w:vertAlign w:val="superscript"/>
    </w:rPr>
  </w:style>
  <w:style w:type="character" w:customStyle="1" w:styleId="17">
    <w:name w:val="הפניה עדינה1"/>
    <w:uiPriority w:val="31"/>
    <w:qFormat/>
    <w:rsid w:val="00C95DBB"/>
    <w:rPr>
      <w:smallCaps/>
      <w:noProof w:val="0"/>
      <w:color w:val="5A5A5A"/>
    </w:rPr>
  </w:style>
  <w:style w:type="table" w:customStyle="1" w:styleId="18">
    <w:name w:val="הצללה בהירה1"/>
    <w:basedOn w:val="a3"/>
    <w:uiPriority w:val="60"/>
    <w:semiHidden/>
    <w:unhideWhenUsed/>
    <w:rsid w:val="00C95DB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C95D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C95DB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C95DB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C95DB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C95DB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C95DB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C95D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C95DB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C95D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C95DB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C95DB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C95DB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C95DB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C95DB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C95D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C95D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C95D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C95D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C95D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C95D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9">
    <w:name w:val="הצללה צבעונית1"/>
    <w:basedOn w:val="a3"/>
    <w:uiPriority w:val="71"/>
    <w:semiHidden/>
    <w:unhideWhenUsed/>
    <w:rsid w:val="00C95DB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C95DB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C95DB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C95DB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C95DB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C95DB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C95DB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9">
    <w:name w:val="Strong"/>
    <w:qFormat/>
    <w:rsid w:val="00C95DBB"/>
    <w:rPr>
      <w:b/>
      <w:bCs/>
      <w:noProof w:val="0"/>
    </w:rPr>
  </w:style>
  <w:style w:type="paragraph" w:styleId="afa">
    <w:name w:val="Signature"/>
    <w:basedOn w:val="a1"/>
    <w:link w:val="afb"/>
    <w:rsid w:val="00C95DBB"/>
    <w:pPr>
      <w:ind w:left="4252"/>
    </w:pPr>
  </w:style>
  <w:style w:type="character" w:customStyle="1" w:styleId="afb">
    <w:name w:val="חתימה תו"/>
    <w:link w:val="afa"/>
    <w:semiHidden/>
    <w:rsid w:val="00C95DBB"/>
    <w:rPr>
      <w:rFonts w:cs="David"/>
      <w:noProof w:val="0"/>
      <w:sz w:val="24"/>
      <w:szCs w:val="24"/>
    </w:rPr>
  </w:style>
  <w:style w:type="paragraph" w:styleId="afc">
    <w:name w:val="E-mail Signature"/>
    <w:basedOn w:val="a1"/>
    <w:link w:val="afd"/>
    <w:rsid w:val="00C95DBB"/>
  </w:style>
  <w:style w:type="character" w:customStyle="1" w:styleId="afd">
    <w:name w:val="חתימת דואר אלקטרוני תו"/>
    <w:link w:val="afc"/>
    <w:semiHidden/>
    <w:rsid w:val="00C95DBB"/>
    <w:rPr>
      <w:rFonts w:cs="David"/>
      <w:noProof w:val="0"/>
      <w:sz w:val="24"/>
      <w:szCs w:val="24"/>
    </w:rPr>
  </w:style>
  <w:style w:type="table" w:styleId="afe">
    <w:name w:val="Table Elegant"/>
    <w:basedOn w:val="a3"/>
    <w:rsid w:val="00C95DBB"/>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
    <w:name w:val="Table Professional"/>
    <w:basedOn w:val="a3"/>
    <w:rsid w:val="00C95DBB"/>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ubtle 1"/>
    <w:basedOn w:val="a3"/>
    <w:rsid w:val="00C95DBB"/>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C95DBB"/>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0">
    <w:name w:val="Table Contemporary"/>
    <w:basedOn w:val="a3"/>
    <w:rsid w:val="00C95DBB"/>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3"/>
    <w:rsid w:val="00C95DBB"/>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C95DBB"/>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C95DBB"/>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olorful 1"/>
    <w:basedOn w:val="a3"/>
    <w:rsid w:val="00C95DBB"/>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C95DBB"/>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C95DBB"/>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lassic 1"/>
    <w:basedOn w:val="a3"/>
    <w:rsid w:val="00C95DBB"/>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C95DBB"/>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C95DBB"/>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C95DBB"/>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C95D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C95D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C95DB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C95D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C95DBB"/>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e">
    <w:name w:val="Table Web 1"/>
    <w:basedOn w:val="a3"/>
    <w:rsid w:val="00C95DBB"/>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C95DBB"/>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C95DBB"/>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C95DB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C95DBB"/>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C95DBB"/>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C95DBB"/>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C95DBB"/>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C95DBB"/>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C95DBB"/>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C95DB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C95DBB"/>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C95DBB"/>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C95DBB"/>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C95DBB"/>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C95DBB"/>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C95DBB"/>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C95DB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C95DBB"/>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C95DBB"/>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C95DBB"/>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C95DBB"/>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C95DBB"/>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C95DBB"/>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C95DB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C95DB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C95DB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C95DB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C95DB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C95DB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C95DB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C95DB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C95DBB"/>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C95DBB"/>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C95DBB"/>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C95DBB"/>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C95DBB"/>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C95DBB"/>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C95DB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C95DBB"/>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C95DBB"/>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C95DBB"/>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C95DBB"/>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C95DBB"/>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C95DBB"/>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C95DBB"/>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C95DBB"/>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C95DBB"/>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C95DBB"/>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C95DBB"/>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C95DBB"/>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C95DBB"/>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C95D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C95DBB"/>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C95DBB"/>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C95DBB"/>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C95DBB"/>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C95DBB"/>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C95DBB"/>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C95DB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C95DBB"/>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C95DBB"/>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C95DBB"/>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C95DBB"/>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C95DBB"/>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C95DBB"/>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C95DB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C95DB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C95DB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C95DB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C95DB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C95DB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C95DB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C95DB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C95DB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C95DB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C95DB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C95DB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C95DB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C95DB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C95DB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C95DB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C95DB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C95DB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C95DB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C95DB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C95DB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C95DB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C95DB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C95DB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C95DB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C95DB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C95DB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C95DB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C95DB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C95DB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C95DB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C95DB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C95DB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C95DB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C95DB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1">
    <w:name w:val="Block Text"/>
    <w:basedOn w:val="a1"/>
    <w:rsid w:val="00C95DBB"/>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2">
    <w:name w:val="endnote text"/>
    <w:basedOn w:val="a1"/>
    <w:link w:val="aff3"/>
    <w:rsid w:val="00C95DBB"/>
    <w:rPr>
      <w:sz w:val="20"/>
      <w:szCs w:val="20"/>
    </w:rPr>
  </w:style>
  <w:style w:type="character" w:customStyle="1" w:styleId="aff3">
    <w:name w:val="טקסט הערת סיום תו"/>
    <w:link w:val="aff2"/>
    <w:semiHidden/>
    <w:rsid w:val="00C95DBB"/>
    <w:rPr>
      <w:rFonts w:cs="David"/>
      <w:noProof w:val="0"/>
    </w:rPr>
  </w:style>
  <w:style w:type="paragraph" w:styleId="aff4">
    <w:name w:val="footnote text"/>
    <w:basedOn w:val="a1"/>
    <w:link w:val="aff5"/>
    <w:rsid w:val="00C95DBB"/>
    <w:rPr>
      <w:sz w:val="20"/>
      <w:szCs w:val="20"/>
    </w:rPr>
  </w:style>
  <w:style w:type="character" w:customStyle="1" w:styleId="aff5">
    <w:name w:val="טקסט הערת שוליים תו"/>
    <w:link w:val="aff4"/>
    <w:semiHidden/>
    <w:rsid w:val="00C95DBB"/>
    <w:rPr>
      <w:rFonts w:cs="David"/>
      <w:noProof w:val="0"/>
    </w:rPr>
  </w:style>
  <w:style w:type="paragraph" w:styleId="aff6">
    <w:name w:val="macro"/>
    <w:link w:val="aff7"/>
    <w:rsid w:val="00C95DBB"/>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7">
    <w:name w:val="טקסט מאקרו תו"/>
    <w:link w:val="aff6"/>
    <w:semiHidden/>
    <w:rsid w:val="00C95DBB"/>
    <w:rPr>
      <w:rFonts w:ascii="Consolas" w:hAnsi="Consolas" w:cs="David"/>
      <w:noProof w:val="0"/>
    </w:rPr>
  </w:style>
  <w:style w:type="paragraph" w:styleId="aff8">
    <w:name w:val="Plain Text"/>
    <w:basedOn w:val="a1"/>
    <w:link w:val="aff9"/>
    <w:rsid w:val="00C95DBB"/>
    <w:rPr>
      <w:rFonts w:ascii="Consolas" w:hAnsi="Consolas"/>
      <w:sz w:val="21"/>
      <w:szCs w:val="21"/>
    </w:rPr>
  </w:style>
  <w:style w:type="character" w:customStyle="1" w:styleId="aff9">
    <w:name w:val="טקסט רגיל תו"/>
    <w:link w:val="aff8"/>
    <w:semiHidden/>
    <w:rsid w:val="00C95DBB"/>
    <w:rPr>
      <w:rFonts w:ascii="Consolas" w:hAnsi="Consolas" w:cs="David"/>
      <w:noProof w:val="0"/>
      <w:sz w:val="21"/>
      <w:szCs w:val="21"/>
    </w:rPr>
  </w:style>
  <w:style w:type="character" w:customStyle="1" w:styleId="1f">
    <w:name w:val="כותר הספר1"/>
    <w:uiPriority w:val="33"/>
    <w:qFormat/>
    <w:rsid w:val="00C95DBB"/>
    <w:rPr>
      <w:b/>
      <w:bCs/>
      <w:i/>
      <w:iCs/>
      <w:noProof w:val="0"/>
      <w:spacing w:val="5"/>
    </w:rPr>
  </w:style>
  <w:style w:type="character" w:customStyle="1" w:styleId="10">
    <w:name w:val="כותרת 1 תו"/>
    <w:link w:val="1"/>
    <w:rsid w:val="00C95DBB"/>
    <w:rPr>
      <w:rFonts w:ascii="Cambria" w:eastAsia="Times New Roman" w:hAnsi="Cambria" w:cs="Times New Roman"/>
      <w:noProof w:val="0"/>
      <w:color w:val="365F91"/>
      <w:sz w:val="32"/>
      <w:szCs w:val="32"/>
    </w:rPr>
  </w:style>
  <w:style w:type="character" w:customStyle="1" w:styleId="22">
    <w:name w:val="כותרת 2 תו"/>
    <w:link w:val="21"/>
    <w:semiHidden/>
    <w:rsid w:val="00C95DBB"/>
    <w:rPr>
      <w:rFonts w:ascii="Cambria" w:eastAsia="Times New Roman" w:hAnsi="Cambria" w:cs="Times New Roman"/>
      <w:noProof w:val="0"/>
      <w:color w:val="365F91"/>
      <w:sz w:val="26"/>
      <w:szCs w:val="26"/>
    </w:rPr>
  </w:style>
  <w:style w:type="character" w:customStyle="1" w:styleId="32">
    <w:name w:val="כותרת 3 תו"/>
    <w:link w:val="31"/>
    <w:semiHidden/>
    <w:rsid w:val="00C95DBB"/>
    <w:rPr>
      <w:rFonts w:ascii="Cambria" w:eastAsia="Times New Roman" w:hAnsi="Cambria" w:cs="Times New Roman"/>
      <w:noProof w:val="0"/>
      <w:color w:val="243F60"/>
      <w:sz w:val="24"/>
      <w:szCs w:val="24"/>
    </w:rPr>
  </w:style>
  <w:style w:type="character" w:customStyle="1" w:styleId="52">
    <w:name w:val="כותרת 5 תו"/>
    <w:link w:val="51"/>
    <w:semiHidden/>
    <w:rsid w:val="00C95DBB"/>
    <w:rPr>
      <w:rFonts w:ascii="Cambria" w:eastAsia="Times New Roman" w:hAnsi="Cambria" w:cs="Times New Roman"/>
      <w:noProof w:val="0"/>
      <w:color w:val="365F91"/>
      <w:sz w:val="24"/>
      <w:szCs w:val="24"/>
    </w:rPr>
  </w:style>
  <w:style w:type="character" w:customStyle="1" w:styleId="60">
    <w:name w:val="כותרת 6 תו"/>
    <w:link w:val="6"/>
    <w:semiHidden/>
    <w:rsid w:val="00C95DBB"/>
    <w:rPr>
      <w:rFonts w:ascii="Cambria" w:eastAsia="Times New Roman" w:hAnsi="Cambria" w:cs="Times New Roman"/>
      <w:noProof w:val="0"/>
      <w:color w:val="243F60"/>
      <w:sz w:val="24"/>
      <w:szCs w:val="24"/>
    </w:rPr>
  </w:style>
  <w:style w:type="character" w:customStyle="1" w:styleId="70">
    <w:name w:val="כותרת 7 תו"/>
    <w:link w:val="7"/>
    <w:semiHidden/>
    <w:rsid w:val="00C95DBB"/>
    <w:rPr>
      <w:rFonts w:ascii="Cambria" w:eastAsia="Times New Roman" w:hAnsi="Cambria" w:cs="Times New Roman"/>
      <w:i/>
      <w:iCs/>
      <w:noProof w:val="0"/>
      <w:color w:val="243F60"/>
      <w:sz w:val="24"/>
      <w:szCs w:val="24"/>
    </w:rPr>
  </w:style>
  <w:style w:type="character" w:customStyle="1" w:styleId="80">
    <w:name w:val="כותרת 8 תו"/>
    <w:link w:val="8"/>
    <w:semiHidden/>
    <w:rsid w:val="00C95DBB"/>
    <w:rPr>
      <w:rFonts w:ascii="Cambria" w:eastAsia="Times New Roman" w:hAnsi="Cambria" w:cs="Times New Roman"/>
      <w:noProof w:val="0"/>
      <w:color w:val="272727"/>
      <w:sz w:val="21"/>
      <w:szCs w:val="21"/>
    </w:rPr>
  </w:style>
  <w:style w:type="character" w:customStyle="1" w:styleId="90">
    <w:name w:val="כותרת 9 תו"/>
    <w:link w:val="9"/>
    <w:semiHidden/>
    <w:rsid w:val="00C95DBB"/>
    <w:rPr>
      <w:rFonts w:ascii="Cambria" w:eastAsia="Times New Roman" w:hAnsi="Cambria" w:cs="Times New Roman"/>
      <w:i/>
      <w:iCs/>
      <w:noProof w:val="0"/>
      <w:color w:val="272727"/>
      <w:sz w:val="21"/>
      <w:szCs w:val="21"/>
    </w:rPr>
  </w:style>
  <w:style w:type="paragraph" w:styleId="affa">
    <w:name w:val="index heading"/>
    <w:basedOn w:val="a1"/>
    <w:next w:val="Index1"/>
    <w:rsid w:val="00C95DBB"/>
    <w:rPr>
      <w:rFonts w:ascii="Cambria" w:hAnsi="Cambria" w:cs="Times New Roman"/>
      <w:b/>
      <w:bCs/>
    </w:rPr>
  </w:style>
  <w:style w:type="paragraph" w:styleId="affb">
    <w:name w:val="Note Heading"/>
    <w:basedOn w:val="a1"/>
    <w:next w:val="a1"/>
    <w:link w:val="affc"/>
    <w:rsid w:val="00C95DBB"/>
  </w:style>
  <w:style w:type="character" w:customStyle="1" w:styleId="affc">
    <w:name w:val="כותרת הערות תו"/>
    <w:link w:val="affb"/>
    <w:semiHidden/>
    <w:rsid w:val="00C95DBB"/>
    <w:rPr>
      <w:rFonts w:cs="David"/>
      <w:noProof w:val="0"/>
      <w:sz w:val="24"/>
      <w:szCs w:val="24"/>
    </w:rPr>
  </w:style>
  <w:style w:type="paragraph" w:styleId="affd">
    <w:name w:val="Title"/>
    <w:basedOn w:val="a1"/>
    <w:next w:val="a1"/>
    <w:link w:val="affe"/>
    <w:qFormat/>
    <w:rsid w:val="00C95DBB"/>
    <w:pPr>
      <w:contextualSpacing/>
    </w:pPr>
    <w:rPr>
      <w:rFonts w:ascii="Cambria" w:hAnsi="Cambria" w:cs="Times New Roman"/>
      <w:spacing w:val="-10"/>
      <w:kern w:val="28"/>
      <w:sz w:val="56"/>
      <w:szCs w:val="56"/>
    </w:rPr>
  </w:style>
  <w:style w:type="character" w:customStyle="1" w:styleId="affe">
    <w:name w:val="כותרת טקסט תו"/>
    <w:link w:val="affd"/>
    <w:rsid w:val="00C95DBB"/>
    <w:rPr>
      <w:rFonts w:ascii="Cambria" w:eastAsia="Times New Roman" w:hAnsi="Cambria" w:cs="Times New Roman"/>
      <w:noProof w:val="0"/>
      <w:spacing w:val="-10"/>
      <w:kern w:val="28"/>
      <w:sz w:val="56"/>
      <w:szCs w:val="56"/>
    </w:rPr>
  </w:style>
  <w:style w:type="paragraph" w:styleId="afff">
    <w:name w:val="Subtitle"/>
    <w:basedOn w:val="a1"/>
    <w:next w:val="a1"/>
    <w:link w:val="afff0"/>
    <w:qFormat/>
    <w:rsid w:val="00C95DBB"/>
    <w:pPr>
      <w:numPr>
        <w:ilvl w:val="1"/>
      </w:numPr>
      <w:spacing w:after="160"/>
    </w:pPr>
    <w:rPr>
      <w:rFonts w:ascii="Calibri" w:hAnsi="Calibri" w:cs="Arial"/>
      <w:color w:val="5A5A5A"/>
      <w:spacing w:val="15"/>
      <w:sz w:val="22"/>
      <w:szCs w:val="22"/>
    </w:rPr>
  </w:style>
  <w:style w:type="character" w:customStyle="1" w:styleId="afff0">
    <w:name w:val="כותרת משנה תו"/>
    <w:link w:val="afff"/>
    <w:rsid w:val="00C95DBB"/>
    <w:rPr>
      <w:rFonts w:ascii="Calibri" w:eastAsia="Times New Roman" w:hAnsi="Calibri" w:cs="Arial"/>
      <w:noProof w:val="0"/>
      <w:color w:val="5A5A5A"/>
      <w:spacing w:val="15"/>
      <w:sz w:val="22"/>
      <w:szCs w:val="22"/>
    </w:rPr>
  </w:style>
  <w:style w:type="paragraph" w:styleId="afff1">
    <w:name w:val="Message Header"/>
    <w:basedOn w:val="a1"/>
    <w:link w:val="afff2"/>
    <w:rsid w:val="00C95DB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2">
    <w:name w:val="כותרת עליונה של הודעה תו"/>
    <w:link w:val="afff1"/>
    <w:semiHidden/>
    <w:rsid w:val="00C95DBB"/>
    <w:rPr>
      <w:rFonts w:ascii="Cambria" w:eastAsia="Times New Roman" w:hAnsi="Cambria" w:cs="Times New Roman"/>
      <w:noProof w:val="0"/>
      <w:sz w:val="24"/>
      <w:szCs w:val="24"/>
      <w:shd w:val="pct20" w:color="auto" w:fill="auto"/>
    </w:rPr>
  </w:style>
  <w:style w:type="paragraph" w:styleId="afff3">
    <w:name w:val="toa heading"/>
    <w:basedOn w:val="a1"/>
    <w:next w:val="a1"/>
    <w:rsid w:val="00C95DBB"/>
    <w:pPr>
      <w:spacing w:before="120"/>
    </w:pPr>
    <w:rPr>
      <w:rFonts w:ascii="Cambria" w:hAnsi="Cambria" w:cs="Times New Roman"/>
      <w:b/>
      <w:bCs/>
    </w:rPr>
  </w:style>
  <w:style w:type="paragraph" w:customStyle="1" w:styleId="1f0">
    <w:name w:val="כותרת תוכן עניינים1"/>
    <w:basedOn w:val="1"/>
    <w:next w:val="a1"/>
    <w:uiPriority w:val="39"/>
    <w:qFormat/>
    <w:rsid w:val="00C95DBB"/>
    <w:pPr>
      <w:outlineLvl w:val="9"/>
    </w:pPr>
  </w:style>
  <w:style w:type="paragraph" w:styleId="afff4">
    <w:name w:val="caption"/>
    <w:basedOn w:val="a1"/>
    <w:next w:val="a1"/>
    <w:qFormat/>
    <w:rsid w:val="00C95DBB"/>
    <w:pPr>
      <w:spacing w:after="200"/>
    </w:pPr>
    <w:rPr>
      <w:i/>
      <w:iCs/>
      <w:color w:val="1F497D"/>
      <w:sz w:val="18"/>
      <w:szCs w:val="18"/>
    </w:rPr>
  </w:style>
  <w:style w:type="paragraph" w:styleId="afff5">
    <w:name w:val="Body Text Indent"/>
    <w:basedOn w:val="a1"/>
    <w:link w:val="afff6"/>
    <w:rsid w:val="00C95DBB"/>
    <w:pPr>
      <w:spacing w:after="120"/>
      <w:ind w:left="283"/>
    </w:pPr>
  </w:style>
  <w:style w:type="character" w:customStyle="1" w:styleId="afff6">
    <w:name w:val="כניסה בגוף טקסט תו"/>
    <w:link w:val="afff5"/>
    <w:semiHidden/>
    <w:rsid w:val="00C95DBB"/>
    <w:rPr>
      <w:rFonts w:cs="David"/>
      <w:noProof w:val="0"/>
      <w:sz w:val="24"/>
      <w:szCs w:val="24"/>
    </w:rPr>
  </w:style>
  <w:style w:type="paragraph" w:styleId="2b">
    <w:name w:val="Body Text Indent 2"/>
    <w:basedOn w:val="a1"/>
    <w:link w:val="2c"/>
    <w:rsid w:val="00C95DBB"/>
    <w:pPr>
      <w:spacing w:after="120" w:line="480" w:lineRule="auto"/>
      <w:ind w:left="283"/>
    </w:pPr>
  </w:style>
  <w:style w:type="character" w:customStyle="1" w:styleId="2c">
    <w:name w:val="כניסה בגוף טקסט 2 תו"/>
    <w:link w:val="2b"/>
    <w:semiHidden/>
    <w:rsid w:val="00C95DBB"/>
    <w:rPr>
      <w:rFonts w:cs="David"/>
      <w:noProof w:val="0"/>
      <w:sz w:val="24"/>
      <w:szCs w:val="24"/>
    </w:rPr>
  </w:style>
  <w:style w:type="paragraph" w:styleId="3a">
    <w:name w:val="Body Text Indent 3"/>
    <w:basedOn w:val="a1"/>
    <w:link w:val="3b"/>
    <w:rsid w:val="00C95DBB"/>
    <w:pPr>
      <w:spacing w:after="120"/>
      <w:ind w:left="283"/>
    </w:pPr>
    <w:rPr>
      <w:sz w:val="16"/>
      <w:szCs w:val="16"/>
    </w:rPr>
  </w:style>
  <w:style w:type="character" w:customStyle="1" w:styleId="3b">
    <w:name w:val="כניסה בגוף טקסט 3 תו"/>
    <w:link w:val="3a"/>
    <w:semiHidden/>
    <w:rsid w:val="00C95DBB"/>
    <w:rPr>
      <w:rFonts w:cs="David"/>
      <w:noProof w:val="0"/>
      <w:sz w:val="16"/>
      <w:szCs w:val="16"/>
    </w:rPr>
  </w:style>
  <w:style w:type="paragraph" w:styleId="afff7">
    <w:name w:val="Normal Indent"/>
    <w:basedOn w:val="a1"/>
    <w:rsid w:val="00C95DBB"/>
    <w:pPr>
      <w:ind w:left="720"/>
    </w:pPr>
  </w:style>
  <w:style w:type="paragraph" w:styleId="afff8">
    <w:name w:val="Body Text First Indent"/>
    <w:basedOn w:val="af3"/>
    <w:link w:val="afff9"/>
    <w:rsid w:val="00C95DBB"/>
    <w:pPr>
      <w:spacing w:after="0"/>
      <w:ind w:firstLine="360"/>
    </w:pPr>
  </w:style>
  <w:style w:type="character" w:customStyle="1" w:styleId="afff9">
    <w:name w:val="כניסת שורה ראשונה בגוף טקסט תו"/>
    <w:link w:val="afff8"/>
    <w:rsid w:val="00C95DBB"/>
    <w:rPr>
      <w:rFonts w:cs="David"/>
      <w:noProof w:val="0"/>
      <w:sz w:val="24"/>
      <w:szCs w:val="24"/>
    </w:rPr>
  </w:style>
  <w:style w:type="paragraph" w:styleId="2d">
    <w:name w:val="Body Text First Indent 2"/>
    <w:basedOn w:val="afff5"/>
    <w:link w:val="2e"/>
    <w:rsid w:val="00C95DBB"/>
    <w:pPr>
      <w:spacing w:after="0"/>
      <w:ind w:left="360" w:firstLine="360"/>
    </w:pPr>
  </w:style>
  <w:style w:type="character" w:customStyle="1" w:styleId="2e">
    <w:name w:val="כניסת שורה ראשונה בגוף טקסט 2 תו"/>
    <w:link w:val="2d"/>
    <w:semiHidden/>
    <w:rsid w:val="00C95DBB"/>
    <w:rPr>
      <w:rFonts w:cs="David"/>
      <w:noProof w:val="0"/>
      <w:sz w:val="24"/>
      <w:szCs w:val="24"/>
    </w:rPr>
  </w:style>
  <w:style w:type="paragraph" w:styleId="HTML2">
    <w:name w:val="HTML Address"/>
    <w:basedOn w:val="a1"/>
    <w:link w:val="HTML3"/>
    <w:rsid w:val="00C95DBB"/>
    <w:rPr>
      <w:i/>
      <w:iCs/>
    </w:rPr>
  </w:style>
  <w:style w:type="character" w:customStyle="1" w:styleId="HTML3">
    <w:name w:val="כתובת HTML תו"/>
    <w:link w:val="HTML2"/>
    <w:semiHidden/>
    <w:rsid w:val="00C95DBB"/>
    <w:rPr>
      <w:rFonts w:cs="David"/>
      <w:i/>
      <w:iCs/>
      <w:noProof w:val="0"/>
      <w:sz w:val="24"/>
      <w:szCs w:val="24"/>
    </w:rPr>
  </w:style>
  <w:style w:type="paragraph" w:styleId="afffa">
    <w:name w:val="envelope address"/>
    <w:basedOn w:val="a1"/>
    <w:rsid w:val="00C95DBB"/>
    <w:pPr>
      <w:framePr w:w="7920" w:h="1980" w:hRule="exact" w:hSpace="180" w:wrap="auto" w:hAnchor="page" w:xAlign="center" w:yAlign="bottom"/>
      <w:ind w:left="2880"/>
    </w:pPr>
    <w:rPr>
      <w:rFonts w:ascii="Cambria" w:hAnsi="Cambria" w:cs="Times New Roman"/>
    </w:rPr>
  </w:style>
  <w:style w:type="paragraph" w:styleId="afffb">
    <w:name w:val="envelope return"/>
    <w:basedOn w:val="a1"/>
    <w:rsid w:val="00C95DBB"/>
    <w:rPr>
      <w:rFonts w:ascii="Cambria" w:hAnsi="Cambria" w:cs="Times New Roman"/>
      <w:sz w:val="20"/>
      <w:szCs w:val="20"/>
    </w:rPr>
  </w:style>
  <w:style w:type="paragraph" w:customStyle="1" w:styleId="1f1">
    <w:name w:val="ללא מרווח1"/>
    <w:uiPriority w:val="1"/>
    <w:qFormat/>
    <w:rsid w:val="00C95DBB"/>
    <w:pPr>
      <w:bidi/>
    </w:pPr>
    <w:rPr>
      <w:rFonts w:cs="David"/>
      <w:sz w:val="24"/>
      <w:szCs w:val="24"/>
      <w:lang w:bidi="he-IL"/>
    </w:rPr>
  </w:style>
  <w:style w:type="character" w:styleId="HTML4">
    <w:name w:val="HTML Typewriter"/>
    <w:rsid w:val="00C95DBB"/>
    <w:rPr>
      <w:rFonts w:ascii="Consolas" w:hAnsi="Consolas"/>
      <w:noProof w:val="0"/>
      <w:sz w:val="20"/>
      <w:szCs w:val="20"/>
    </w:rPr>
  </w:style>
  <w:style w:type="paragraph" w:styleId="afffc">
    <w:name w:val="Document Map"/>
    <w:basedOn w:val="a1"/>
    <w:link w:val="afffd"/>
    <w:rsid w:val="00C95DBB"/>
    <w:rPr>
      <w:rFonts w:ascii="Tahoma" w:hAnsi="Tahoma" w:cs="Tahoma"/>
      <w:sz w:val="16"/>
      <w:szCs w:val="16"/>
    </w:rPr>
  </w:style>
  <w:style w:type="character" w:customStyle="1" w:styleId="afffd">
    <w:name w:val="מפת מסמך תו"/>
    <w:link w:val="afffc"/>
    <w:semiHidden/>
    <w:rsid w:val="00C95DBB"/>
    <w:rPr>
      <w:rFonts w:ascii="Tahoma" w:hAnsi="Tahoma" w:cs="Tahoma"/>
      <w:noProof w:val="0"/>
      <w:sz w:val="16"/>
      <w:szCs w:val="16"/>
    </w:rPr>
  </w:style>
  <w:style w:type="character" w:styleId="HTML5">
    <w:name w:val="HTML Keyboard"/>
    <w:rsid w:val="00C95DBB"/>
    <w:rPr>
      <w:rFonts w:ascii="Consolas" w:hAnsi="Consolas"/>
      <w:noProof w:val="0"/>
      <w:sz w:val="20"/>
      <w:szCs w:val="20"/>
    </w:rPr>
  </w:style>
  <w:style w:type="paragraph" w:styleId="afffe">
    <w:name w:val="annotation subject"/>
    <w:basedOn w:val="aa"/>
    <w:next w:val="aa"/>
    <w:link w:val="affff"/>
    <w:rsid w:val="00C95DBB"/>
    <w:rPr>
      <w:rFonts w:cs="David"/>
      <w:b/>
      <w:bCs/>
      <w:sz w:val="20"/>
      <w:szCs w:val="20"/>
    </w:rPr>
  </w:style>
  <w:style w:type="character" w:customStyle="1" w:styleId="ab">
    <w:name w:val="טקסט הערה תו"/>
    <w:link w:val="aa"/>
    <w:semiHidden/>
    <w:rsid w:val="00C95DBB"/>
    <w:rPr>
      <w:noProof w:val="0"/>
      <w:sz w:val="24"/>
      <w:szCs w:val="24"/>
    </w:rPr>
  </w:style>
  <w:style w:type="character" w:customStyle="1" w:styleId="affff">
    <w:name w:val="נושא הערה תו"/>
    <w:link w:val="afffe"/>
    <w:semiHidden/>
    <w:rsid w:val="00C95DBB"/>
    <w:rPr>
      <w:rFonts w:cs="David"/>
      <w:b/>
      <w:bCs/>
      <w:noProof w:val="0"/>
      <w:sz w:val="24"/>
      <w:szCs w:val="24"/>
    </w:rPr>
  </w:style>
  <w:style w:type="table" w:styleId="affff0">
    <w:name w:val="Table Theme"/>
    <w:basedOn w:val="a3"/>
    <w:rsid w:val="00C95DB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Closing"/>
    <w:basedOn w:val="a1"/>
    <w:link w:val="affff2"/>
    <w:rsid w:val="00C95DBB"/>
    <w:pPr>
      <w:ind w:left="4252"/>
    </w:pPr>
  </w:style>
  <w:style w:type="character" w:customStyle="1" w:styleId="affff2">
    <w:name w:val="סיום תו"/>
    <w:link w:val="affff1"/>
    <w:semiHidden/>
    <w:rsid w:val="00C95DBB"/>
    <w:rPr>
      <w:rFonts w:cs="David"/>
      <w:noProof w:val="0"/>
      <w:sz w:val="24"/>
      <w:szCs w:val="24"/>
    </w:rPr>
  </w:style>
  <w:style w:type="table" w:styleId="1f2">
    <w:name w:val="Table Columns 1"/>
    <w:basedOn w:val="a3"/>
    <w:rsid w:val="00C95DBB"/>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C95DBB"/>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C95DBB"/>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C95DBB"/>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C95DBB"/>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3">
    <w:name w:val="פיסקת רשימה1"/>
    <w:basedOn w:val="a1"/>
    <w:uiPriority w:val="34"/>
    <w:qFormat/>
    <w:rsid w:val="00C95DBB"/>
    <w:pPr>
      <w:ind w:left="720"/>
      <w:contextualSpacing/>
    </w:pPr>
  </w:style>
  <w:style w:type="paragraph" w:customStyle="1" w:styleId="1f4">
    <w:name w:val="ציטוט1"/>
    <w:basedOn w:val="a1"/>
    <w:next w:val="a1"/>
    <w:link w:val="QuoteChar"/>
    <w:uiPriority w:val="29"/>
    <w:qFormat/>
    <w:rsid w:val="00C95DBB"/>
    <w:pPr>
      <w:spacing w:before="200" w:after="160"/>
      <w:ind w:left="864" w:right="864"/>
      <w:jc w:val="center"/>
    </w:pPr>
    <w:rPr>
      <w:i/>
      <w:iCs/>
      <w:color w:val="404040"/>
    </w:rPr>
  </w:style>
  <w:style w:type="character" w:customStyle="1" w:styleId="QuoteChar">
    <w:name w:val="Quote Char"/>
    <w:link w:val="1f4"/>
    <w:uiPriority w:val="29"/>
    <w:rsid w:val="00C95DBB"/>
    <w:rPr>
      <w:rFonts w:cs="David"/>
      <w:i/>
      <w:iCs/>
      <w:noProof w:val="0"/>
      <w:color w:val="404040"/>
      <w:sz w:val="24"/>
      <w:szCs w:val="24"/>
    </w:rPr>
  </w:style>
  <w:style w:type="paragraph" w:customStyle="1" w:styleId="1f5">
    <w:name w:val="ציטוט חזק1"/>
    <w:basedOn w:val="a1"/>
    <w:next w:val="a1"/>
    <w:link w:val="IntenseQuoteChar"/>
    <w:uiPriority w:val="30"/>
    <w:qFormat/>
    <w:rsid w:val="00C95DBB"/>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C95DBB"/>
    <w:rPr>
      <w:rFonts w:cs="David"/>
      <w:i/>
      <w:iCs/>
      <w:noProof w:val="0"/>
      <w:color w:val="4F81BD"/>
      <w:sz w:val="24"/>
      <w:szCs w:val="24"/>
    </w:rPr>
  </w:style>
  <w:style w:type="character" w:styleId="HTML6">
    <w:name w:val="HTML Acronym"/>
    <w:rsid w:val="00C95DBB"/>
    <w:rPr>
      <w:noProof w:val="0"/>
    </w:rPr>
  </w:style>
  <w:style w:type="paragraph" w:styleId="affff3">
    <w:name w:val="List"/>
    <w:basedOn w:val="a1"/>
    <w:rsid w:val="00C95DBB"/>
    <w:pPr>
      <w:ind w:left="283" w:hanging="283"/>
      <w:contextualSpacing/>
    </w:pPr>
  </w:style>
  <w:style w:type="paragraph" w:styleId="2f0">
    <w:name w:val="List 2"/>
    <w:basedOn w:val="a1"/>
    <w:rsid w:val="00C95DBB"/>
    <w:pPr>
      <w:ind w:left="566" w:hanging="283"/>
      <w:contextualSpacing/>
    </w:pPr>
  </w:style>
  <w:style w:type="paragraph" w:styleId="3d">
    <w:name w:val="List 3"/>
    <w:basedOn w:val="a1"/>
    <w:rsid w:val="00C95DBB"/>
    <w:pPr>
      <w:ind w:left="849" w:hanging="283"/>
      <w:contextualSpacing/>
    </w:pPr>
  </w:style>
  <w:style w:type="paragraph" w:styleId="45">
    <w:name w:val="List 4"/>
    <w:basedOn w:val="a1"/>
    <w:rsid w:val="00C95DBB"/>
    <w:pPr>
      <w:ind w:left="1132" w:hanging="283"/>
      <w:contextualSpacing/>
    </w:pPr>
  </w:style>
  <w:style w:type="paragraph" w:styleId="55">
    <w:name w:val="List 5"/>
    <w:basedOn w:val="a1"/>
    <w:rsid w:val="00C95DBB"/>
    <w:pPr>
      <w:ind w:left="1415" w:hanging="283"/>
      <w:contextualSpacing/>
    </w:pPr>
  </w:style>
  <w:style w:type="table" w:customStyle="1" w:styleId="1f6">
    <w:name w:val="רשימה בהירה1"/>
    <w:basedOn w:val="a3"/>
    <w:uiPriority w:val="61"/>
    <w:semiHidden/>
    <w:unhideWhenUsed/>
    <w:rsid w:val="00C95DB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C95DB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C95DB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C95DB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C95DB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C95DB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C95DB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C95DBB"/>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C95DBB"/>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C95DBB"/>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C95DBB"/>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C95DBB"/>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C95DBB"/>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C95DBB"/>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C95DBB"/>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C95DBB"/>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C95DBB"/>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C95DBB"/>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C95DBB"/>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C95DBB"/>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C95DBB"/>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C95DBB"/>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C95DB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C95DB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C95DB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C95DB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C95DB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C95DB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C95DB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C95DB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C95DB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C95DB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C95DB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C95DB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C95DB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C95DB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C95DBB"/>
    <w:pPr>
      <w:numPr>
        <w:numId w:val="2"/>
      </w:numPr>
      <w:contextualSpacing/>
    </w:pPr>
  </w:style>
  <w:style w:type="paragraph" w:styleId="2">
    <w:name w:val="List Number 2"/>
    <w:basedOn w:val="a1"/>
    <w:rsid w:val="00C95DBB"/>
    <w:pPr>
      <w:numPr>
        <w:numId w:val="3"/>
      </w:numPr>
      <w:contextualSpacing/>
    </w:pPr>
  </w:style>
  <w:style w:type="paragraph" w:styleId="3">
    <w:name w:val="List Number 3"/>
    <w:basedOn w:val="a1"/>
    <w:rsid w:val="00C95DBB"/>
    <w:pPr>
      <w:numPr>
        <w:numId w:val="4"/>
      </w:numPr>
      <w:contextualSpacing/>
    </w:pPr>
  </w:style>
  <w:style w:type="paragraph" w:styleId="4">
    <w:name w:val="List Number 4"/>
    <w:basedOn w:val="a1"/>
    <w:rsid w:val="00C95DBB"/>
    <w:pPr>
      <w:numPr>
        <w:numId w:val="5"/>
      </w:numPr>
      <w:contextualSpacing/>
    </w:pPr>
  </w:style>
  <w:style w:type="paragraph" w:styleId="5">
    <w:name w:val="List Number 5"/>
    <w:basedOn w:val="a1"/>
    <w:rsid w:val="00C95DBB"/>
    <w:pPr>
      <w:numPr>
        <w:numId w:val="6"/>
      </w:numPr>
      <w:contextualSpacing/>
    </w:pPr>
  </w:style>
  <w:style w:type="paragraph" w:styleId="a0">
    <w:name w:val="List Bullet"/>
    <w:basedOn w:val="a1"/>
    <w:rsid w:val="00C95DBB"/>
    <w:pPr>
      <w:numPr>
        <w:numId w:val="7"/>
      </w:numPr>
      <w:contextualSpacing/>
    </w:pPr>
  </w:style>
  <w:style w:type="paragraph" w:styleId="20">
    <w:name w:val="List Bullet 2"/>
    <w:basedOn w:val="a1"/>
    <w:rsid w:val="00C95DBB"/>
    <w:pPr>
      <w:numPr>
        <w:numId w:val="8"/>
      </w:numPr>
      <w:contextualSpacing/>
    </w:pPr>
  </w:style>
  <w:style w:type="paragraph" w:styleId="30">
    <w:name w:val="List Bullet 3"/>
    <w:basedOn w:val="a1"/>
    <w:rsid w:val="00C95DBB"/>
    <w:pPr>
      <w:numPr>
        <w:numId w:val="9"/>
      </w:numPr>
      <w:contextualSpacing/>
    </w:pPr>
  </w:style>
  <w:style w:type="paragraph" w:styleId="40">
    <w:name w:val="List Bullet 4"/>
    <w:basedOn w:val="a1"/>
    <w:rsid w:val="00C95DBB"/>
    <w:pPr>
      <w:numPr>
        <w:numId w:val="10"/>
      </w:numPr>
      <w:contextualSpacing/>
    </w:pPr>
  </w:style>
  <w:style w:type="paragraph" w:styleId="50">
    <w:name w:val="List Bullet 5"/>
    <w:basedOn w:val="a1"/>
    <w:rsid w:val="00C95DBB"/>
    <w:pPr>
      <w:numPr>
        <w:numId w:val="11"/>
      </w:numPr>
      <w:contextualSpacing/>
    </w:pPr>
  </w:style>
  <w:style w:type="table" w:customStyle="1" w:styleId="1f9">
    <w:name w:val="רשימה צבעונית1"/>
    <w:basedOn w:val="a3"/>
    <w:uiPriority w:val="72"/>
    <w:semiHidden/>
    <w:unhideWhenUsed/>
    <w:rsid w:val="00C95DB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C95DB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C95DB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C95DB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C95DB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C95DB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C95DB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4">
    <w:name w:val="table of figures"/>
    <w:basedOn w:val="a1"/>
    <w:next w:val="a1"/>
    <w:rsid w:val="00C95DBB"/>
  </w:style>
  <w:style w:type="paragraph" w:styleId="affff5">
    <w:name w:val="table of authorities"/>
    <w:basedOn w:val="a1"/>
    <w:next w:val="a1"/>
    <w:rsid w:val="00C95DBB"/>
    <w:pPr>
      <w:ind w:left="240" w:hanging="240"/>
    </w:pPr>
  </w:style>
  <w:style w:type="table" w:customStyle="1" w:styleId="1fa">
    <w:name w:val="רשת בהירה1"/>
    <w:basedOn w:val="a3"/>
    <w:uiPriority w:val="62"/>
    <w:semiHidden/>
    <w:unhideWhenUsed/>
    <w:rsid w:val="00C95DB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C95DB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C95DB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C95DB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C95DB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C95DB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C95DB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C95D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C95DB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C95DB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C95DB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C95DB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C95DB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C95DB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C95DB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C95DB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C95DB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C95DB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C95DB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C95DB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C95DB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C95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C95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C95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C95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C95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C95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C95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C95DBB"/>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C95DBB"/>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C95DBB"/>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C95DBB"/>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C95DBB"/>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C95DBB"/>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C95DBB"/>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C95DBB"/>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C95D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C95DB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C95DB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C95DB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C95DB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C95DB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C95DB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C95DB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6">
    <w:name w:val="Date"/>
    <w:basedOn w:val="a1"/>
    <w:next w:val="a1"/>
    <w:link w:val="affff7"/>
    <w:rsid w:val="00C95DBB"/>
  </w:style>
  <w:style w:type="character" w:customStyle="1" w:styleId="affff7">
    <w:name w:val="תאריך תו"/>
    <w:link w:val="affff6"/>
    <w:rsid w:val="00C95DBB"/>
    <w:rPr>
      <w:rFonts w:cs="David"/>
      <w:noProof w:val="0"/>
      <w:sz w:val="24"/>
      <w:szCs w:val="24"/>
    </w:rPr>
  </w:style>
  <w:style w:type="paragraph" w:customStyle="1" w:styleId="2f3">
    <w:name w:val="ללא מרווח2"/>
    <w:qFormat/>
    <w:rsid w:val="005B6711"/>
    <w:pPr>
      <w:bidi/>
    </w:pPr>
    <w:rPr>
      <w:rFonts w:cs="David"/>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nevo.co.il/law/4668/22" TargetMode="External"/><Relationship Id="rId18" Type="http://schemas.openxmlformats.org/officeDocument/2006/relationships/hyperlink" Target="http://www.nevo.co.il/law/4668/178.c" TargetMode="External"/><Relationship Id="rId26" Type="http://schemas.openxmlformats.org/officeDocument/2006/relationships/hyperlink" Target="http://www.nevo.co.il/case/28463708" TargetMode="External"/><Relationship Id="rId39" Type="http://schemas.openxmlformats.org/officeDocument/2006/relationships/hyperlink" Target="http://www.nevo.co.il/case/5684591" TargetMode="External"/><Relationship Id="rId21" Type="http://schemas.openxmlformats.org/officeDocument/2006/relationships/hyperlink" Target="http://www.nevo.co.il/case/23768468" TargetMode="External"/><Relationship Id="rId34" Type="http://schemas.openxmlformats.org/officeDocument/2006/relationships/hyperlink" Target="http://www.nevo.co.il/law/4668/178.c" TargetMode="External"/><Relationship Id="rId42" Type="http://schemas.openxmlformats.org/officeDocument/2006/relationships/hyperlink" Target="http://www.nevo.co.il/law/154362" TargetMode="External"/><Relationship Id="rId47" Type="http://schemas.openxmlformats.org/officeDocument/2006/relationships/hyperlink" Target="http://www.nevo.co.il/law/4668" TargetMode="External"/><Relationship Id="rId50" Type="http://schemas.openxmlformats.org/officeDocument/2006/relationships/hyperlink" Target="http://www.nevo.co.il/case/25576913" TargetMode="External"/><Relationship Id="rId55" Type="http://schemas.openxmlformats.org/officeDocument/2006/relationships/footer" Target="footer2.xml"/><Relationship Id="rId7" Type="http://schemas.openxmlformats.org/officeDocument/2006/relationships/hyperlink" Target="http://www.nevo.co.il/case/3820264" TargetMode="External"/><Relationship Id="rId12" Type="http://schemas.openxmlformats.org/officeDocument/2006/relationships/hyperlink" Target="http://www.nevo.co.il/law/4668" TargetMode="External"/><Relationship Id="rId17" Type="http://schemas.openxmlformats.org/officeDocument/2006/relationships/hyperlink" Target="http://www.nevo.co.il/case/30438924" TargetMode="External"/><Relationship Id="rId25" Type="http://schemas.openxmlformats.org/officeDocument/2006/relationships/hyperlink" Target="http://www.nevo.co.il/case/25386190" TargetMode="External"/><Relationship Id="rId33" Type="http://schemas.openxmlformats.org/officeDocument/2006/relationships/hyperlink" Target="http://www.nevo.co.il/law/4668/178.c" TargetMode="External"/><Relationship Id="rId38" Type="http://schemas.openxmlformats.org/officeDocument/2006/relationships/hyperlink" Target="http://www.nevo.co.il/case/17921984" TargetMode="External"/><Relationship Id="rId46" Type="http://schemas.openxmlformats.org/officeDocument/2006/relationships/hyperlink" Target="http://www.nevo.co.il/law/4668/178.a" TargetMode="External"/><Relationship Id="rId2" Type="http://schemas.openxmlformats.org/officeDocument/2006/relationships/styles" Target="styles.xml"/><Relationship Id="rId16" Type="http://schemas.openxmlformats.org/officeDocument/2006/relationships/hyperlink" Target="http://www.nevo.co.il/case/26826386" TargetMode="External"/><Relationship Id="rId20" Type="http://schemas.openxmlformats.org/officeDocument/2006/relationships/hyperlink" Target="http://www.nevo.co.il/case/5008811" TargetMode="External"/><Relationship Id="rId29" Type="http://schemas.openxmlformats.org/officeDocument/2006/relationships/hyperlink" Target="http://www.nevo.co.il/law/4668/22.a" TargetMode="External"/><Relationship Id="rId41" Type="http://schemas.openxmlformats.org/officeDocument/2006/relationships/hyperlink" Target="http://www.nevo.co.il/law/154362/139"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4668/178.c" TargetMode="External"/><Relationship Id="rId24" Type="http://schemas.openxmlformats.org/officeDocument/2006/relationships/hyperlink" Target="http://www.nevo.co.il/law/4668/22.a" TargetMode="External"/><Relationship Id="rId32" Type="http://schemas.openxmlformats.org/officeDocument/2006/relationships/hyperlink" Target="http://www.nevo.co.il/case/25380749" TargetMode="External"/><Relationship Id="rId37" Type="http://schemas.openxmlformats.org/officeDocument/2006/relationships/hyperlink" Target="http://www.nevo.co.il/case/28606527" TargetMode="External"/><Relationship Id="rId40" Type="http://schemas.openxmlformats.org/officeDocument/2006/relationships/hyperlink" Target="http://www.nevo.co.il/case/5591751" TargetMode="External"/><Relationship Id="rId45" Type="http://schemas.openxmlformats.org/officeDocument/2006/relationships/hyperlink" Target="http://www.nevo.co.il/law/4668/150"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vo.co.il/case/26657086" TargetMode="External"/><Relationship Id="rId23" Type="http://schemas.openxmlformats.org/officeDocument/2006/relationships/hyperlink" Target="http://www.nevo.co.il/law/4668/178.c" TargetMode="External"/><Relationship Id="rId28" Type="http://schemas.openxmlformats.org/officeDocument/2006/relationships/hyperlink" Target="http://www.nevo.co.il/law/4668/178.c" TargetMode="External"/><Relationship Id="rId36" Type="http://schemas.openxmlformats.org/officeDocument/2006/relationships/hyperlink" Target="http://www.nevo.co.il/case/27941918" TargetMode="External"/><Relationship Id="rId49" Type="http://schemas.openxmlformats.org/officeDocument/2006/relationships/hyperlink" Target="http://www.nevo.co.il/case/22694776" TargetMode="External"/><Relationship Id="rId57" Type="http://schemas.openxmlformats.org/officeDocument/2006/relationships/fontTable" Target="fontTable.xml"/><Relationship Id="rId10" Type="http://schemas.openxmlformats.org/officeDocument/2006/relationships/hyperlink" Target="http://www.nevo.co.il/case/30352827" TargetMode="External"/><Relationship Id="rId19" Type="http://schemas.openxmlformats.org/officeDocument/2006/relationships/hyperlink" Target="http://www.nevo.co.il/case/3816327" TargetMode="External"/><Relationship Id="rId31" Type="http://schemas.openxmlformats.org/officeDocument/2006/relationships/hyperlink" Target="http://www.nevo.co.il/case/25050982" TargetMode="External"/><Relationship Id="rId44" Type="http://schemas.openxmlformats.org/officeDocument/2006/relationships/hyperlink" Target="http://www.nevo.co.il/law/74985"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vo.co.il/case/3820264" TargetMode="External"/><Relationship Id="rId14" Type="http://schemas.openxmlformats.org/officeDocument/2006/relationships/hyperlink" Target="http://www.nevo.co.il/law/4668/178.c" TargetMode="External"/><Relationship Id="rId22" Type="http://schemas.openxmlformats.org/officeDocument/2006/relationships/hyperlink" Target="http://www.nevo.co.il/law/4668/178.c" TargetMode="External"/><Relationship Id="rId27" Type="http://schemas.openxmlformats.org/officeDocument/2006/relationships/hyperlink" Target="http://www.nevo.co.il/law/154362" TargetMode="External"/><Relationship Id="rId30" Type="http://schemas.openxmlformats.org/officeDocument/2006/relationships/hyperlink" Target="http://www.nevo.co.il/case/17947915" TargetMode="External"/><Relationship Id="rId35" Type="http://schemas.openxmlformats.org/officeDocument/2006/relationships/hyperlink" Target="http://www.nevo.co.il/case/25723350" TargetMode="External"/><Relationship Id="rId43" Type="http://schemas.openxmlformats.org/officeDocument/2006/relationships/hyperlink" Target="http://www.nevo.co.il/law/74985/64" TargetMode="External"/><Relationship Id="rId48" Type="http://schemas.openxmlformats.org/officeDocument/2006/relationships/hyperlink" Target="http://www.nevo.co.il/case/5993210" TargetMode="External"/><Relationship Id="rId56" Type="http://schemas.openxmlformats.org/officeDocument/2006/relationships/footer" Target="footer3.xml"/><Relationship Id="rId8" Type="http://schemas.openxmlformats.org/officeDocument/2006/relationships/hyperlink" Target="http://www.nevo.co.il/case/3820264" TargetMode="External"/><Relationship Id="rId51" Type="http://schemas.openxmlformats.org/officeDocument/2006/relationships/hyperlink" Target="http://www.nevo.co.il/case/30157141"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2632</Words>
  <Characters>13160</Characters>
  <Application>Microsoft Office Word</Application>
  <DocSecurity>0</DocSecurity>
  <Lines>109</Lines>
  <Paragraphs>31</Paragraphs>
  <ScaleCrop>false</ScaleCrop>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2025-01-02T04:16:00Z</dcterms:created>
  <dcterms:modified xsi:type="dcterms:W3CDTF">2025-01-02T04:16:00Z</dcterms:modified>
</cp:coreProperties>
</file>